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岳南环评〔2022〕1号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关于岳阳市水务集团供水调度指挥中心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建设项目环境影响报告表的批复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岳阳市水务集团有限公司：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你公司《关于申请对岳阳市水务集团供水调度指挥中心建设项目环境影响报告表进行批复的函》及有关附件收悉。经研究，批复如下: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岳阳市水务集团供水调度指挥中心建设项目位于岳阳市南湖新区赶山路南侧、尹家冲路西侧。项目总投资12832万元，环保投资为50万元。项目主要建设内容为：新建1栋9层综合楼及1栋3层副楼，同时配套建设2层地下建筑，以满足供水调度指挥中心办公、业务接待及化验检测需求。</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根据湖南志远环境咨询服务有限公司编制的建设项目环境影响报告表基本内容、结论及专家评审意见，我局原则同意你单位环境影响报告表中环境影响评价结论和环境保护对策措施。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二．项目在施工及营运期间须全面落实专家及环境影响报告表中提出的各项污染物防治措施，切实加强环境管理，确保污防设施长期稳定运行、各项污染物达标排放，并着重做好以下工作：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1.落实施工期污染防治措施</w:t>
      </w:r>
      <w:r>
        <w:rPr>
          <w:rFonts w:hint="eastAsia" w:ascii="仿宋_GB2312" w:hAnsi="仿宋_GB2312" w:eastAsia="仿宋_GB2312" w:cs="仿宋_GB2312"/>
          <w:sz w:val="32"/>
          <w:szCs w:val="32"/>
        </w:rPr>
        <w:t>。采取边界围挡、物料遮盖、定期洒水等措施减少扬尘污染，选用合格油品，减少运输车辆和燃油动力机械尾气；选用低噪声施工设备，合理布局等措施控制声环境影响；建筑垃圾送指定位置填埋，生活垃圾收集后由环卫部门统一处理；施工期各类废水应收尽收、合理处置；切实做好施工期的各项环境保护工作，尽量缩短施工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2.加强废气污染防治工作</w:t>
      </w:r>
      <w:r>
        <w:rPr>
          <w:rFonts w:hint="eastAsia" w:ascii="仿宋_GB2312" w:hAnsi="仿宋_GB2312" w:eastAsia="仿宋_GB2312" w:cs="仿宋_GB2312"/>
          <w:sz w:val="32"/>
          <w:szCs w:val="32"/>
        </w:rPr>
        <w:t>。项目运营期产生的废气主要为试剂挥发酸性废气、非甲烷总烃及食堂油烟等。其中，食堂油烟经油烟净化器净化处理、试剂挥发酸性废气及非甲烷总烃经通风系统集中收集后经由40m排气筒达标排放。项目废气中硫酸雾、氯化氢、非甲烷总烃排放执行《大气污染物综合排放标准》（GB16297-1996）表2中的二级标准；食堂油烟废气执行《饮食业油烟排放标准（试行）》（GB18483-2001）。</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3.加强废水污染防治工作</w:t>
      </w:r>
      <w:r>
        <w:rPr>
          <w:rFonts w:hint="eastAsia" w:ascii="仿宋_GB2312" w:hAnsi="仿宋_GB2312" w:eastAsia="仿宋_GB2312" w:cs="仿宋_GB2312"/>
          <w:sz w:val="32"/>
          <w:szCs w:val="32"/>
        </w:rPr>
        <w:t>。项目须严格按照“雨污分流、清污分流、污污分流”的原则完善厂区雨污水管网。项目产生的废水主要为清洗废水、食堂废水、生活污水等。生活废水、食堂废水、清洗废水经化粪池、隔油池预处理后满足湖滨污水处理厂进水水质标准，经由区域污水管网送至湖滨污水处理厂深度处理，达标排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4.加强固体废物污染防治工作</w:t>
      </w:r>
      <w:r>
        <w:rPr>
          <w:rFonts w:hint="eastAsia" w:ascii="仿宋_GB2312" w:hAnsi="仿宋_GB2312" w:eastAsia="仿宋_GB2312" w:cs="仿宋_GB2312"/>
          <w:sz w:val="32"/>
          <w:szCs w:val="32"/>
        </w:rPr>
        <w:t>。项目产生的固体废物主要为生活垃圾、实验废液、废试剂包装材料及损坏玻璃器皿等。实验废液、废试剂包装材料属危险废物，应严格按照《危险废物贮存污染控制标准》（GB18597-2001）及2013年修改单要求合规储存、建立健全管理台账，交由有资质单位安全处置，并执行转移联单制度；损坏玻璃器皿经厂内清理处置后，按照《一般工业固体废物贮存、处置场污染控制标准》（GB 18599-2001）及2013年修改单标准安全贮存、合理处置；生活垃圾集中收集后由环卫部门定期清运、合理处置。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5.加强噪声污染防治工作</w:t>
      </w:r>
      <w:r>
        <w:rPr>
          <w:rFonts w:hint="eastAsia" w:ascii="仿宋_GB2312" w:hAnsi="仿宋_GB2312" w:eastAsia="仿宋_GB2312" w:cs="仿宋_GB2312"/>
          <w:sz w:val="32"/>
          <w:szCs w:val="32"/>
        </w:rPr>
        <w:t>。通过采用低噪声设备、合理布局，并采取隔声、减震等措施，确保项目场界东侧、南侧噪声达到《工业企业厂界环境噪声排放标准（GB12348-2008）中4 类标准，其他区域执行《工业企业厂界环境噪声排放标准》（GB12348-2008）2 类标准。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6.加强地下水污染防治工作</w:t>
      </w:r>
      <w:r>
        <w:rPr>
          <w:rFonts w:hint="eastAsia" w:ascii="仿宋_GB2312" w:hAnsi="仿宋_GB2312" w:eastAsia="仿宋_GB2312" w:cs="仿宋_GB2312"/>
          <w:sz w:val="32"/>
          <w:szCs w:val="32"/>
        </w:rPr>
        <w:t>。按照“源头控制、分区防治、污染监控、应急响应”相结合的原则，制定并实施源头控制措施、分区防渗措施、污染监控计划、风险事故应急响应方案等，从源头上减少污染物的产生，防止环境污染。根据分区防渗要求做好重点防腐防渗工作，强化管理，避免由于泄漏污染地下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7.加强营运期风险防范</w:t>
      </w:r>
      <w:r>
        <w:rPr>
          <w:rFonts w:hint="eastAsia" w:ascii="仿宋_GB2312" w:hAnsi="仿宋_GB2312" w:eastAsia="仿宋_GB2312" w:cs="仿宋_GB2312"/>
          <w:sz w:val="32"/>
          <w:szCs w:val="32"/>
        </w:rPr>
        <w:t>。严格落实报告表提出的各项环境风险防范措施；按照《突发环境事件应急管理办法》制定突发环境事件应急预案，储备风险救助物资并组织演练，杜绝环境风险事故发生。</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8.加强环境管理</w:t>
      </w:r>
      <w:r>
        <w:rPr>
          <w:rFonts w:hint="eastAsia" w:ascii="仿宋_GB2312" w:hAnsi="仿宋_GB2312" w:eastAsia="仿宋_GB2312" w:cs="仿宋_GB2312"/>
          <w:sz w:val="32"/>
          <w:szCs w:val="32"/>
        </w:rPr>
        <w:t>。建立健全污染防治设施运行管理台</w:t>
      </w:r>
      <w:r>
        <w:rPr>
          <w:rFonts w:hint="eastAsia" w:ascii="仿宋_GB2312" w:hAnsi="仿宋_GB2312" w:eastAsia="仿宋_GB2312" w:cs="仿宋_GB2312"/>
          <w:sz w:val="32"/>
          <w:szCs w:val="32"/>
          <w:lang w:eastAsia="zh-CN"/>
        </w:rPr>
        <w:t>账</w:t>
      </w:r>
      <w:r>
        <w:rPr>
          <w:rFonts w:hint="eastAsia" w:ascii="仿宋_GB2312" w:hAnsi="仿宋_GB2312" w:eastAsia="仿宋_GB2312" w:cs="仿宋_GB2312"/>
          <w:sz w:val="32"/>
          <w:szCs w:val="32"/>
        </w:rPr>
        <w:t>，设置专门的环保机构及环保人员，确保</w:t>
      </w:r>
      <w:bookmarkStart w:id="0" w:name="_GoBack"/>
      <w:bookmarkEnd w:id="0"/>
      <w:r>
        <w:rPr>
          <w:rFonts w:hint="eastAsia" w:ascii="仿宋_GB2312" w:hAnsi="仿宋_GB2312" w:eastAsia="仿宋_GB2312" w:cs="仿宋_GB2312"/>
          <w:sz w:val="32"/>
          <w:szCs w:val="32"/>
        </w:rPr>
        <w:t>各项污染防治设施的正常运行，各类污染物稳定达标排放。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三．建设项目的环境影响评价文件经批准后，建设项目的性质、规模、地点、采用的生产工艺或者污染防治措施发生重大变动的，建设单位应当重新报批建设项目的环境影响评价文件。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四．项目竣工后，按建设项目竣工环境保护验收管理的有关规定,及时组织自行验收。本项目的现场环境监督管理由南湖新区生态环境保护综合行政执法大队负责。</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岳阳市生态环境局</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2022年1月5日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3699B"/>
    <w:rsid w:val="15433330"/>
    <w:rsid w:val="37EB2D52"/>
    <w:rsid w:val="499A395E"/>
    <w:rsid w:val="69230C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WPS_1611324138</cp:lastModifiedBy>
  <dcterms:modified xsi:type="dcterms:W3CDTF">2022-01-14T03:52:04Z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F831E252951D4937A98CBEC71EEDEA9B</vt:lpwstr>
  </property>
</Properties>
</file>