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39"/>
        <w:rPr>
          <w:rFonts w:hint="eastAsia" w:ascii="黑体" w:hAnsi="黑体" w:eastAsia="黑体" w:cs="黑体"/>
        </w:rPr>
      </w:pPr>
      <w:r>
        <w:rPr>
          <w:rFonts w:hint="eastAsia" w:ascii="黑体" w:hAnsi="黑体" w:eastAsia="黑体" w:cs="黑体"/>
        </w:rPr>
        <w:t>附件</w:t>
      </w:r>
    </w:p>
    <w:p>
      <w:pPr>
        <w:pStyle w:val="3"/>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黑体" w:hAnsi="黑体" w:eastAsia="黑体" w:cs="黑体"/>
          <w:color w:val="000000"/>
          <w:sz w:val="32"/>
          <w:szCs w:val="32"/>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700" w:lineRule="exact"/>
        <w:ind w:left="0" w:right="0"/>
        <w:jc w:val="center"/>
        <w:textAlignment w:val="auto"/>
        <w:rPr>
          <w:rFonts w:hint="eastAsia" w:ascii="方正小标宋简体" w:hAnsi="方正小标宋简体" w:eastAsia="方正小标宋简体" w:cs="方正小标宋简体"/>
          <w:b w:val="0"/>
          <w:bCs w:val="0"/>
          <w:w w:val="100"/>
          <w:sz w:val="44"/>
          <w:szCs w:val="44"/>
        </w:rPr>
      </w:pPr>
      <w:r>
        <w:rPr>
          <w:rFonts w:hint="eastAsia" w:ascii="方正小标宋简体" w:hAnsi="方正小标宋简体" w:eastAsia="方正小标宋简体" w:cs="方正小标宋简体"/>
          <w:b w:val="0"/>
          <w:bCs w:val="0"/>
          <w:w w:val="100"/>
          <w:sz w:val="44"/>
          <w:szCs w:val="44"/>
        </w:rPr>
        <w:t>湖南岳阳楼•洞庭湖文化旅游度假区概念策划和产业发展规划国际竞赛现场述标专家评审会</w:t>
      </w:r>
    </w:p>
    <w:p>
      <w:pPr>
        <w:pStyle w:val="3"/>
        <w:keepNext w:val="0"/>
        <w:keepLines w:val="0"/>
        <w:pageBreakBefore w:val="0"/>
        <w:widowControl w:val="0"/>
        <w:kinsoku/>
        <w:wordWrap/>
        <w:overflowPunct/>
        <w:topLinePunct w:val="0"/>
        <w:autoSpaceDE w:val="0"/>
        <w:autoSpaceDN w:val="0"/>
        <w:bidi w:val="0"/>
        <w:adjustRightInd/>
        <w:snapToGrid/>
        <w:spacing w:before="0" w:line="700" w:lineRule="exact"/>
        <w:ind w:left="0" w:right="0"/>
        <w:jc w:val="center"/>
        <w:textAlignment w:val="auto"/>
        <w:rPr>
          <w:rFonts w:hint="eastAsia" w:ascii="方正小标宋简体" w:hAnsi="方正小标宋简体" w:eastAsia="方正小标宋简体" w:cs="方正小标宋简体"/>
          <w:b w:val="0"/>
          <w:bCs w:val="0"/>
          <w:w w:val="100"/>
          <w:sz w:val="44"/>
          <w:szCs w:val="44"/>
        </w:rPr>
      </w:pPr>
      <w:r>
        <w:rPr>
          <w:rFonts w:hint="eastAsia" w:ascii="方正小标宋简体" w:hAnsi="方正小标宋简体" w:eastAsia="方正小标宋简体" w:cs="方正小标宋简体"/>
          <w:b w:val="0"/>
          <w:bCs w:val="0"/>
          <w:w w:val="100"/>
          <w:sz w:val="44"/>
          <w:szCs w:val="44"/>
        </w:rPr>
        <w:t>评分细则</w:t>
      </w:r>
    </w:p>
    <w:p>
      <w:pPr>
        <w:spacing w:line="610" w:lineRule="exact"/>
        <w:ind w:firstLine="640" w:firstLineChars="200"/>
        <w:rPr>
          <w:rFonts w:hint="eastAsia" w:ascii="仿宋_GB2312" w:hAnsi="宋体" w:eastAsia="仿宋_GB2312" w:cs="宋体"/>
          <w:color w:val="000000"/>
          <w:sz w:val="32"/>
          <w:szCs w:val="32"/>
        </w:rPr>
      </w:pPr>
    </w:p>
    <w:p>
      <w:pPr>
        <w:pStyle w:val="3"/>
        <w:keepNext w:val="0"/>
        <w:keepLines w:val="0"/>
        <w:pageBreakBefore w:val="0"/>
        <w:widowControl w:val="0"/>
        <w:kinsoku/>
        <w:wordWrap/>
        <w:overflowPunct/>
        <w:topLinePunct w:val="0"/>
        <w:autoSpaceDE w:val="0"/>
        <w:autoSpaceDN w:val="0"/>
        <w:bidi w:val="0"/>
        <w:adjustRightInd/>
        <w:snapToGrid/>
        <w:spacing w:before="0" w:after="0" w:line="620" w:lineRule="exact"/>
        <w:ind w:left="0" w:firstLine="640" w:firstLineChars="200"/>
        <w:textAlignment w:val="auto"/>
        <w:rPr>
          <w:rFonts w:hint="eastAsia" w:ascii="仿宋_GB2312" w:hAnsi="宋体" w:eastAsia="仿宋_GB2312" w:cs="宋体"/>
          <w:color w:val="000000"/>
          <w:kern w:val="2"/>
          <w:sz w:val="32"/>
          <w:szCs w:val="32"/>
          <w:lang w:val="en-US" w:eastAsia="zh-CN" w:bidi="ar-SA"/>
        </w:rPr>
      </w:pPr>
      <w:r>
        <w:rPr>
          <w:rFonts w:hint="eastAsia" w:ascii="仿宋_GB2312" w:hAnsi="宋体" w:eastAsia="仿宋_GB2312" w:cs="宋体"/>
          <w:color w:val="000000"/>
          <w:kern w:val="2"/>
          <w:sz w:val="32"/>
          <w:szCs w:val="32"/>
          <w:lang w:val="en-US" w:eastAsia="zh-CN" w:bidi="ar-SA"/>
        </w:rPr>
        <w:t>根据国家招投标规定，现场述标专家评审会总评分为100分，其中技术分占90分，价格分占10分。</w:t>
      </w:r>
    </w:p>
    <w:p>
      <w:pPr>
        <w:pStyle w:val="3"/>
        <w:keepNext w:val="0"/>
        <w:keepLines w:val="0"/>
        <w:pageBreakBefore w:val="0"/>
        <w:widowControl w:val="0"/>
        <w:kinsoku/>
        <w:wordWrap/>
        <w:overflowPunct/>
        <w:topLinePunct w:val="0"/>
        <w:autoSpaceDE w:val="0"/>
        <w:autoSpaceDN w:val="0"/>
        <w:bidi w:val="0"/>
        <w:adjustRightInd/>
        <w:snapToGrid/>
        <w:spacing w:before="0" w:after="0" w:line="620" w:lineRule="exact"/>
        <w:ind w:left="0" w:firstLine="640" w:firstLineChars="200"/>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一、技术部分：（90分）</w:t>
      </w:r>
    </w:p>
    <w:tbl>
      <w:tblPr>
        <w:tblStyle w:val="6"/>
        <w:tblW w:w="0" w:type="auto"/>
        <w:tblInd w:w="3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2"/>
        <w:gridCol w:w="1718"/>
        <w:gridCol w:w="4990"/>
        <w:gridCol w:w="9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2" w:type="dxa"/>
          </w:tcPr>
          <w:p>
            <w:pPr>
              <w:pStyle w:val="8"/>
              <w:keepNext w:val="0"/>
              <w:keepLines w:val="0"/>
              <w:pageBreakBefore w:val="0"/>
              <w:widowControl w:val="0"/>
              <w:tabs>
                <w:tab w:val="left" w:pos="490"/>
              </w:tabs>
              <w:kinsoku/>
              <w:wordWrap/>
              <w:overflowPunct/>
              <w:topLinePunct w:val="0"/>
              <w:autoSpaceDE w:val="0"/>
              <w:autoSpaceDN w:val="0"/>
              <w:bidi w:val="0"/>
              <w:adjustRightInd/>
              <w:snapToGrid/>
              <w:spacing w:before="97" w:line="240" w:lineRule="auto"/>
              <w:ind w:left="8"/>
              <w:jc w:val="center"/>
              <w:textAlignment w:val="auto"/>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kern w:val="2"/>
                <w:sz w:val="24"/>
                <w:szCs w:val="24"/>
                <w:lang w:val="en-US" w:eastAsia="zh-CN" w:bidi="ar-SA"/>
              </w:rPr>
              <w:t>序</w:t>
            </w:r>
            <w:r>
              <w:rPr>
                <w:rFonts w:hint="eastAsia" w:ascii="黑体" w:hAnsi="黑体" w:eastAsia="黑体" w:cs="黑体"/>
                <w:color w:val="000000"/>
                <w:kern w:val="2"/>
                <w:sz w:val="24"/>
                <w:szCs w:val="24"/>
                <w:lang w:val="en-US" w:eastAsia="zh-CN" w:bidi="ar-SA"/>
              </w:rPr>
              <w:tab/>
            </w:r>
            <w:r>
              <w:rPr>
                <w:rFonts w:hint="eastAsia" w:ascii="黑体" w:hAnsi="黑体" w:eastAsia="黑体" w:cs="黑体"/>
                <w:color w:val="000000"/>
                <w:kern w:val="2"/>
                <w:sz w:val="24"/>
                <w:szCs w:val="24"/>
                <w:lang w:val="en-US" w:eastAsia="zh-CN" w:bidi="ar-SA"/>
              </w:rPr>
              <w:t>号</w:t>
            </w:r>
          </w:p>
        </w:tc>
        <w:tc>
          <w:tcPr>
            <w:tcW w:w="1718" w:type="dxa"/>
          </w:tcPr>
          <w:p>
            <w:pPr>
              <w:pStyle w:val="8"/>
              <w:keepNext w:val="0"/>
              <w:keepLines w:val="0"/>
              <w:pageBreakBefore w:val="0"/>
              <w:widowControl w:val="0"/>
              <w:tabs>
                <w:tab w:val="left" w:pos="979"/>
              </w:tabs>
              <w:kinsoku/>
              <w:wordWrap/>
              <w:overflowPunct/>
              <w:topLinePunct w:val="0"/>
              <w:autoSpaceDE w:val="0"/>
              <w:autoSpaceDN w:val="0"/>
              <w:bidi w:val="0"/>
              <w:adjustRightInd/>
              <w:snapToGrid/>
              <w:spacing w:before="97" w:line="240" w:lineRule="auto"/>
              <w:ind w:left="499"/>
              <w:textAlignment w:val="auto"/>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kern w:val="2"/>
                <w:sz w:val="24"/>
                <w:szCs w:val="24"/>
                <w:lang w:val="en-US" w:eastAsia="zh-CN" w:bidi="ar-SA"/>
              </w:rPr>
              <w:t>项</w:t>
            </w:r>
            <w:r>
              <w:rPr>
                <w:rFonts w:hint="eastAsia" w:ascii="黑体" w:hAnsi="黑体" w:eastAsia="黑体" w:cs="黑体"/>
                <w:color w:val="000000"/>
                <w:kern w:val="2"/>
                <w:sz w:val="24"/>
                <w:szCs w:val="24"/>
                <w:lang w:val="en-US" w:eastAsia="zh-CN" w:bidi="ar-SA"/>
              </w:rPr>
              <w:tab/>
            </w:r>
            <w:r>
              <w:rPr>
                <w:rFonts w:hint="eastAsia" w:ascii="黑体" w:hAnsi="黑体" w:eastAsia="黑体" w:cs="黑体"/>
                <w:color w:val="000000"/>
                <w:kern w:val="2"/>
                <w:sz w:val="24"/>
                <w:szCs w:val="24"/>
                <w:lang w:val="en-US" w:eastAsia="zh-CN" w:bidi="ar-SA"/>
              </w:rPr>
              <w:t>目</w:t>
            </w:r>
          </w:p>
        </w:tc>
        <w:tc>
          <w:tcPr>
            <w:tcW w:w="4990" w:type="dxa"/>
          </w:tcPr>
          <w:p>
            <w:pPr>
              <w:pStyle w:val="8"/>
              <w:keepNext w:val="0"/>
              <w:keepLines w:val="0"/>
              <w:pageBreakBefore w:val="0"/>
              <w:widowControl w:val="0"/>
              <w:kinsoku/>
              <w:wordWrap/>
              <w:overflowPunct/>
              <w:topLinePunct w:val="0"/>
              <w:autoSpaceDE w:val="0"/>
              <w:autoSpaceDN w:val="0"/>
              <w:bidi w:val="0"/>
              <w:adjustRightInd/>
              <w:snapToGrid/>
              <w:spacing w:before="97" w:line="240" w:lineRule="auto"/>
              <w:ind w:right="1984"/>
              <w:jc w:val="right"/>
              <w:textAlignment w:val="auto"/>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kern w:val="2"/>
                <w:sz w:val="24"/>
                <w:szCs w:val="24"/>
                <w:lang w:val="en-US" w:eastAsia="zh-CN" w:bidi="ar-SA"/>
              </w:rPr>
              <w:t>评分细则</w:t>
            </w:r>
          </w:p>
        </w:tc>
        <w:tc>
          <w:tcPr>
            <w:tcW w:w="951" w:type="dxa"/>
          </w:tcPr>
          <w:p>
            <w:pPr>
              <w:pStyle w:val="8"/>
              <w:keepNext w:val="0"/>
              <w:keepLines w:val="0"/>
              <w:pageBreakBefore w:val="0"/>
              <w:widowControl w:val="0"/>
              <w:tabs>
                <w:tab w:val="left" w:pos="490"/>
              </w:tabs>
              <w:kinsoku/>
              <w:wordWrap/>
              <w:overflowPunct/>
              <w:topLinePunct w:val="0"/>
              <w:autoSpaceDE w:val="0"/>
              <w:autoSpaceDN w:val="0"/>
              <w:bidi w:val="0"/>
              <w:adjustRightInd/>
              <w:snapToGrid/>
              <w:spacing w:before="97" w:line="240" w:lineRule="auto"/>
              <w:ind w:left="10"/>
              <w:jc w:val="center"/>
              <w:textAlignment w:val="auto"/>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kern w:val="2"/>
                <w:sz w:val="24"/>
                <w:szCs w:val="24"/>
                <w:lang w:val="en-US" w:eastAsia="zh-CN" w:bidi="ar-SA"/>
              </w:rPr>
              <w:t>分</w:t>
            </w:r>
            <w:r>
              <w:rPr>
                <w:rFonts w:hint="eastAsia" w:ascii="黑体" w:hAnsi="黑体" w:eastAsia="黑体" w:cs="黑体"/>
                <w:color w:val="000000"/>
                <w:kern w:val="2"/>
                <w:sz w:val="24"/>
                <w:szCs w:val="24"/>
                <w:lang w:val="en-US" w:eastAsia="zh-CN" w:bidi="ar-SA"/>
              </w:rPr>
              <w:tab/>
            </w:r>
            <w:r>
              <w:rPr>
                <w:rFonts w:hint="eastAsia" w:ascii="黑体" w:hAnsi="黑体" w:eastAsia="黑体" w:cs="黑体"/>
                <w:color w:val="000000"/>
                <w:kern w:val="2"/>
                <w:sz w:val="24"/>
                <w:szCs w:val="24"/>
                <w:lang w:val="en-US" w:eastAsia="zh-CN" w:bidi="ar-SA"/>
              </w:rPr>
              <w:t>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742" w:type="dxa"/>
            <w:vAlign w:val="center"/>
          </w:tcPr>
          <w:p>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1</w:t>
            </w:r>
          </w:p>
        </w:tc>
        <w:tc>
          <w:tcPr>
            <w:tcW w:w="1718"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1" w:line="240" w:lineRule="auto"/>
              <w:ind w:right="114"/>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对设计任务的理解和把握</w:t>
            </w:r>
          </w:p>
          <w:p>
            <w:pPr>
              <w:pStyle w:val="8"/>
              <w:keepNext w:val="0"/>
              <w:keepLines w:val="0"/>
              <w:pageBreakBefore w:val="0"/>
              <w:widowControl w:val="0"/>
              <w:kinsoku/>
              <w:wordWrap/>
              <w:overflowPunct/>
              <w:topLinePunct w:val="0"/>
              <w:autoSpaceDE w:val="0"/>
              <w:autoSpaceDN w:val="0"/>
              <w:bidi w:val="0"/>
              <w:adjustRightInd/>
              <w:snapToGrid/>
              <w:spacing w:before="1" w:line="240" w:lineRule="auto"/>
              <w:ind w:right="114"/>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（5分）</w:t>
            </w:r>
          </w:p>
        </w:tc>
        <w:tc>
          <w:tcPr>
            <w:tcW w:w="4990" w:type="dxa"/>
            <w:vAlign w:val="center"/>
          </w:tcPr>
          <w:p>
            <w:pPr>
              <w:pStyle w:val="8"/>
              <w:keepNext w:val="0"/>
              <w:keepLines w:val="0"/>
              <w:pageBreakBefore w:val="0"/>
              <w:widowControl w:val="0"/>
              <w:kinsoku/>
              <w:wordWrap/>
              <w:overflowPunct/>
              <w:topLinePunct w:val="0"/>
              <w:autoSpaceDE w:val="0"/>
              <w:autoSpaceDN w:val="0"/>
              <w:bidi w:val="0"/>
              <w:adjustRightInd/>
              <w:snapToGrid/>
              <w:spacing w:line="240" w:lineRule="auto"/>
              <w:ind w:right="97"/>
              <w:jc w:val="both"/>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设计理念与竞赛文件相关要求的融合性，规划的创意性、前瞻性。优秀计5分，良好计3分，一般计2分，较差计0分。</w:t>
            </w:r>
          </w:p>
        </w:tc>
        <w:tc>
          <w:tcPr>
            <w:tcW w:w="951" w:type="dxa"/>
            <w:vAlign w:val="center"/>
          </w:tcPr>
          <w:p>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atLeast"/>
        </w:trPr>
        <w:tc>
          <w:tcPr>
            <w:tcW w:w="742" w:type="dxa"/>
            <w:vAlign w:val="center"/>
          </w:tcPr>
          <w:p>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2</w:t>
            </w:r>
          </w:p>
        </w:tc>
        <w:tc>
          <w:tcPr>
            <w:tcW w:w="1718"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1" w:line="240" w:lineRule="auto"/>
              <w:ind w:right="114"/>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遵循上位规划程度</w:t>
            </w:r>
          </w:p>
          <w:p>
            <w:pPr>
              <w:pStyle w:val="8"/>
              <w:keepNext w:val="0"/>
              <w:keepLines w:val="0"/>
              <w:pageBreakBefore w:val="0"/>
              <w:widowControl w:val="0"/>
              <w:kinsoku/>
              <w:wordWrap/>
              <w:overflowPunct/>
              <w:topLinePunct w:val="0"/>
              <w:autoSpaceDE w:val="0"/>
              <w:autoSpaceDN w:val="0"/>
              <w:bidi w:val="0"/>
              <w:adjustRightInd/>
              <w:snapToGrid/>
              <w:spacing w:before="1" w:line="240" w:lineRule="auto"/>
              <w:ind w:right="114"/>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（5分）</w:t>
            </w:r>
          </w:p>
        </w:tc>
        <w:tc>
          <w:tcPr>
            <w:tcW w:w="4990" w:type="dxa"/>
            <w:vAlign w:val="center"/>
          </w:tcPr>
          <w:p>
            <w:pPr>
              <w:pStyle w:val="8"/>
              <w:keepNext w:val="0"/>
              <w:keepLines w:val="0"/>
              <w:pageBreakBefore w:val="0"/>
              <w:widowControl w:val="0"/>
              <w:kinsoku/>
              <w:wordWrap/>
              <w:overflowPunct/>
              <w:topLinePunct w:val="0"/>
              <w:autoSpaceDE w:val="0"/>
              <w:autoSpaceDN w:val="0"/>
              <w:bidi w:val="0"/>
              <w:adjustRightInd/>
              <w:snapToGrid/>
              <w:spacing w:line="240" w:lineRule="auto"/>
              <w:ind w:right="95"/>
              <w:jc w:val="both"/>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与岳阳市级层面城市规划、文旅规划等上位规划要求符合程度；优秀计5分，良好计3分，一般计2分较差计0分。</w:t>
            </w:r>
          </w:p>
        </w:tc>
        <w:tc>
          <w:tcPr>
            <w:tcW w:w="951" w:type="dxa"/>
            <w:vAlign w:val="center"/>
          </w:tcPr>
          <w:p>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742" w:type="dxa"/>
            <w:vAlign w:val="center"/>
          </w:tcPr>
          <w:p>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3</w:t>
            </w:r>
          </w:p>
        </w:tc>
        <w:tc>
          <w:tcPr>
            <w:tcW w:w="1718"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1" w:line="240" w:lineRule="auto"/>
              <w:ind w:right="114"/>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文旅度假区规划范围设计</w:t>
            </w:r>
          </w:p>
          <w:p>
            <w:pPr>
              <w:pStyle w:val="8"/>
              <w:keepNext w:val="0"/>
              <w:keepLines w:val="0"/>
              <w:pageBreakBefore w:val="0"/>
              <w:widowControl w:val="0"/>
              <w:kinsoku/>
              <w:wordWrap/>
              <w:overflowPunct/>
              <w:topLinePunct w:val="0"/>
              <w:autoSpaceDE w:val="0"/>
              <w:autoSpaceDN w:val="0"/>
              <w:bidi w:val="0"/>
              <w:adjustRightInd/>
              <w:snapToGrid/>
              <w:spacing w:before="1" w:line="240" w:lineRule="auto"/>
              <w:ind w:right="114"/>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（5分）</w:t>
            </w:r>
          </w:p>
        </w:tc>
        <w:tc>
          <w:tcPr>
            <w:tcW w:w="4990"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170" w:line="240" w:lineRule="auto"/>
              <w:ind w:right="91"/>
              <w:jc w:val="both"/>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文旅度假区规划范围边界设计的科学性与合理性。优秀计5分，良好计3分，一般计2分，较差计0分。</w:t>
            </w:r>
          </w:p>
        </w:tc>
        <w:tc>
          <w:tcPr>
            <w:tcW w:w="951" w:type="dxa"/>
            <w:vAlign w:val="center"/>
          </w:tcPr>
          <w:p>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trPr>
        <w:tc>
          <w:tcPr>
            <w:tcW w:w="742" w:type="dxa"/>
            <w:vMerge w:val="restart"/>
            <w:vAlign w:val="center"/>
          </w:tcPr>
          <w:p>
            <w:pPr>
              <w:pStyle w:val="8"/>
              <w:keepNext w:val="0"/>
              <w:keepLines w:val="0"/>
              <w:pageBreakBefore w:val="0"/>
              <w:widowControl w:val="0"/>
              <w:kinsoku/>
              <w:wordWrap/>
              <w:overflowPunct/>
              <w:topLinePunct w:val="0"/>
              <w:autoSpaceDE w:val="0"/>
              <w:autoSpaceDN w:val="0"/>
              <w:bidi w:val="0"/>
              <w:adjustRightInd/>
              <w:snapToGrid/>
              <w:spacing w:before="1" w:line="240" w:lineRule="auto"/>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4</w:t>
            </w:r>
          </w:p>
        </w:tc>
        <w:tc>
          <w:tcPr>
            <w:tcW w:w="1718" w:type="dxa"/>
            <w:vMerge w:val="restart"/>
            <w:vAlign w:val="center"/>
          </w:tcPr>
          <w:p>
            <w:pPr>
              <w:pStyle w:val="8"/>
              <w:keepNext w:val="0"/>
              <w:keepLines w:val="0"/>
              <w:pageBreakBefore w:val="0"/>
              <w:widowControl w:val="0"/>
              <w:kinsoku/>
              <w:wordWrap/>
              <w:overflowPunct/>
              <w:topLinePunct w:val="0"/>
              <w:autoSpaceDE w:val="0"/>
              <w:autoSpaceDN w:val="0"/>
              <w:bidi w:val="0"/>
              <w:adjustRightInd/>
              <w:snapToGrid/>
              <w:spacing w:before="1" w:line="240" w:lineRule="auto"/>
              <w:ind w:right="114"/>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度假区产业发展业态布局</w:t>
            </w:r>
          </w:p>
          <w:p>
            <w:pPr>
              <w:pStyle w:val="8"/>
              <w:keepNext w:val="0"/>
              <w:keepLines w:val="0"/>
              <w:pageBreakBefore w:val="0"/>
              <w:widowControl w:val="0"/>
              <w:kinsoku/>
              <w:wordWrap/>
              <w:overflowPunct/>
              <w:topLinePunct w:val="0"/>
              <w:autoSpaceDE w:val="0"/>
              <w:autoSpaceDN w:val="0"/>
              <w:bidi w:val="0"/>
              <w:adjustRightInd/>
              <w:snapToGrid/>
              <w:spacing w:before="1" w:line="240" w:lineRule="auto"/>
              <w:ind w:right="114"/>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（20分）</w:t>
            </w:r>
          </w:p>
        </w:tc>
        <w:tc>
          <w:tcPr>
            <w:tcW w:w="4990"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110" w:line="240" w:lineRule="auto"/>
              <w:ind w:right="97"/>
              <w:jc w:val="both"/>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符合国家文旅产业发展实际趋势，与湖南、岳阳产业 发展实际相吻合。符合计5分，较符合计3分，一般计2分，较差计0分。</w:t>
            </w:r>
          </w:p>
        </w:tc>
        <w:tc>
          <w:tcPr>
            <w:tcW w:w="951" w:type="dxa"/>
            <w:vAlign w:val="center"/>
          </w:tcPr>
          <w:p>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74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宋体"/>
                <w:color w:val="000000"/>
                <w:kern w:val="2"/>
                <w:sz w:val="24"/>
                <w:szCs w:val="24"/>
                <w:lang w:val="en-US" w:eastAsia="zh-CN" w:bidi="ar-SA"/>
              </w:rPr>
            </w:pPr>
          </w:p>
        </w:tc>
        <w:tc>
          <w:tcPr>
            <w:tcW w:w="1718" w:type="dxa"/>
            <w:vMerge w:val="continue"/>
            <w:tcBorders>
              <w:top w:val="nil"/>
            </w:tcBorders>
            <w:vAlign w:val="center"/>
          </w:tcPr>
          <w:p>
            <w:pPr>
              <w:pStyle w:val="8"/>
              <w:keepNext w:val="0"/>
              <w:keepLines w:val="0"/>
              <w:pageBreakBefore w:val="0"/>
              <w:widowControl w:val="0"/>
              <w:kinsoku/>
              <w:wordWrap/>
              <w:overflowPunct/>
              <w:topLinePunct w:val="0"/>
              <w:autoSpaceDE w:val="0"/>
              <w:autoSpaceDN w:val="0"/>
              <w:bidi w:val="0"/>
              <w:adjustRightInd/>
              <w:snapToGrid/>
              <w:spacing w:before="1" w:line="240" w:lineRule="auto"/>
              <w:ind w:right="114"/>
              <w:jc w:val="center"/>
              <w:textAlignment w:val="auto"/>
              <w:rPr>
                <w:rFonts w:hint="eastAsia" w:ascii="仿宋_GB2312" w:hAnsi="宋体" w:eastAsia="仿宋_GB2312" w:cs="宋体"/>
                <w:color w:val="000000"/>
                <w:kern w:val="2"/>
                <w:sz w:val="24"/>
                <w:szCs w:val="24"/>
                <w:lang w:val="en-US" w:eastAsia="zh-CN" w:bidi="ar-SA"/>
              </w:rPr>
            </w:pPr>
          </w:p>
        </w:tc>
        <w:tc>
          <w:tcPr>
            <w:tcW w:w="4990"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109" w:line="240" w:lineRule="auto"/>
              <w:jc w:val="both"/>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产业发展布局方案优秀计15分，良好计12分，一般计10分，较差计5分。</w:t>
            </w:r>
          </w:p>
        </w:tc>
        <w:tc>
          <w:tcPr>
            <w:tcW w:w="951" w:type="dxa"/>
            <w:vAlign w:val="center"/>
          </w:tcPr>
          <w:p>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742" w:type="dxa"/>
            <w:vMerge w:val="restart"/>
            <w:vAlign w:val="center"/>
          </w:tcPr>
          <w:p>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5</w:t>
            </w:r>
          </w:p>
        </w:tc>
        <w:tc>
          <w:tcPr>
            <w:tcW w:w="1718" w:type="dxa"/>
            <w:vMerge w:val="restart"/>
            <w:vAlign w:val="center"/>
          </w:tcPr>
          <w:p>
            <w:pPr>
              <w:pStyle w:val="8"/>
              <w:keepNext w:val="0"/>
              <w:keepLines w:val="0"/>
              <w:pageBreakBefore w:val="0"/>
              <w:widowControl w:val="0"/>
              <w:kinsoku/>
              <w:wordWrap/>
              <w:overflowPunct/>
              <w:topLinePunct w:val="0"/>
              <w:autoSpaceDE w:val="0"/>
              <w:autoSpaceDN w:val="0"/>
              <w:bidi w:val="0"/>
              <w:adjustRightInd/>
              <w:snapToGrid/>
              <w:spacing w:before="1" w:line="240" w:lineRule="auto"/>
              <w:ind w:right="114"/>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概念策划及产业落地可行性</w:t>
            </w:r>
          </w:p>
          <w:p>
            <w:pPr>
              <w:pStyle w:val="8"/>
              <w:keepNext w:val="0"/>
              <w:keepLines w:val="0"/>
              <w:pageBreakBefore w:val="0"/>
              <w:widowControl w:val="0"/>
              <w:kinsoku/>
              <w:wordWrap/>
              <w:overflowPunct/>
              <w:topLinePunct w:val="0"/>
              <w:autoSpaceDE w:val="0"/>
              <w:autoSpaceDN w:val="0"/>
              <w:bidi w:val="0"/>
              <w:adjustRightInd/>
              <w:snapToGrid/>
              <w:spacing w:before="1" w:line="240" w:lineRule="auto"/>
              <w:ind w:right="114"/>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（30分）</w:t>
            </w:r>
          </w:p>
        </w:tc>
        <w:tc>
          <w:tcPr>
            <w:tcW w:w="4990"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110" w:line="240" w:lineRule="auto"/>
              <w:jc w:val="both"/>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概念策划达到行业领先水平，优秀计15分，良好计12分，一般计8分，较差计5分。</w:t>
            </w:r>
          </w:p>
        </w:tc>
        <w:tc>
          <w:tcPr>
            <w:tcW w:w="951" w:type="dxa"/>
            <w:vAlign w:val="center"/>
          </w:tcPr>
          <w:p>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5" w:hRule="atLeast"/>
        </w:trPr>
        <w:tc>
          <w:tcPr>
            <w:tcW w:w="74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宋体"/>
                <w:color w:val="000000"/>
                <w:kern w:val="2"/>
                <w:sz w:val="24"/>
                <w:szCs w:val="24"/>
                <w:lang w:val="en-US" w:eastAsia="zh-CN" w:bidi="ar-SA"/>
              </w:rPr>
            </w:pPr>
          </w:p>
        </w:tc>
        <w:tc>
          <w:tcPr>
            <w:tcW w:w="1718"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宋体"/>
                <w:color w:val="000000"/>
                <w:kern w:val="2"/>
                <w:sz w:val="24"/>
                <w:szCs w:val="24"/>
                <w:lang w:val="en-US" w:eastAsia="zh-CN" w:bidi="ar-SA"/>
              </w:rPr>
            </w:pPr>
          </w:p>
        </w:tc>
        <w:tc>
          <w:tcPr>
            <w:tcW w:w="4990"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109" w:line="240" w:lineRule="auto"/>
              <w:ind w:right="30"/>
              <w:jc w:val="both"/>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核心文旅IP项目、优质新业态项目及精品网红项目与岳阳市四大精神（求索精神、忧乐精神、任弼时骆驼精神以及平江起义的革命精神）的契合度。优秀计10 分，良好计8分，一般计5分，较差计0分。</w:t>
            </w:r>
          </w:p>
        </w:tc>
        <w:tc>
          <w:tcPr>
            <w:tcW w:w="951" w:type="dxa"/>
            <w:vAlign w:val="center"/>
          </w:tcPr>
          <w:p>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742" w:type="dxa"/>
            <w:vMerge w:val="continue"/>
            <w:vAlign w:val="center"/>
          </w:tcPr>
          <w:p>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宋体"/>
                <w:color w:val="000000"/>
                <w:kern w:val="2"/>
                <w:sz w:val="24"/>
                <w:szCs w:val="24"/>
                <w:lang w:val="en-US" w:eastAsia="zh-CN" w:bidi="ar-SA"/>
              </w:rPr>
            </w:pPr>
          </w:p>
        </w:tc>
        <w:tc>
          <w:tcPr>
            <w:tcW w:w="1718" w:type="dxa"/>
            <w:vMerge w:val="continue"/>
            <w:vAlign w:val="center"/>
          </w:tcPr>
          <w:p>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宋体"/>
                <w:color w:val="000000"/>
                <w:kern w:val="2"/>
                <w:sz w:val="24"/>
                <w:szCs w:val="24"/>
                <w:lang w:val="en-US" w:eastAsia="zh-CN" w:bidi="ar-SA"/>
              </w:rPr>
            </w:pPr>
          </w:p>
        </w:tc>
        <w:tc>
          <w:tcPr>
            <w:tcW w:w="4990"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109" w:line="240" w:lineRule="auto"/>
              <w:ind w:right="30"/>
              <w:jc w:val="both"/>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文旅IP项目与运营衔接的可行性、可操作性。优秀计5分，良好计3分，一般计2分，较差计0分。</w:t>
            </w:r>
          </w:p>
        </w:tc>
        <w:tc>
          <w:tcPr>
            <w:tcW w:w="951" w:type="dxa"/>
            <w:vAlign w:val="center"/>
          </w:tcPr>
          <w:p>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742" w:type="dxa"/>
            <w:vAlign w:val="center"/>
          </w:tcPr>
          <w:p>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6</w:t>
            </w:r>
          </w:p>
        </w:tc>
        <w:tc>
          <w:tcPr>
            <w:tcW w:w="1718" w:type="dxa"/>
            <w:vAlign w:val="center"/>
          </w:tcPr>
          <w:p>
            <w:pPr>
              <w:pStyle w:val="8"/>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交通体系规划</w:t>
            </w:r>
          </w:p>
          <w:p>
            <w:pPr>
              <w:pStyle w:val="8"/>
              <w:keepNext w:val="0"/>
              <w:keepLines w:val="0"/>
              <w:pageBreakBefore w:val="0"/>
              <w:widowControl w:val="0"/>
              <w:kinsoku/>
              <w:wordWrap/>
              <w:overflowPunct/>
              <w:topLinePunct w:val="0"/>
              <w:autoSpaceDE w:val="0"/>
              <w:autoSpaceDN w:val="0"/>
              <w:bidi w:val="0"/>
              <w:adjustRightInd/>
              <w:snapToGrid/>
              <w:spacing w:line="240" w:lineRule="auto"/>
              <w:ind w:left="9"/>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（10分）</w:t>
            </w:r>
          </w:p>
        </w:tc>
        <w:tc>
          <w:tcPr>
            <w:tcW w:w="4990"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171" w:line="240" w:lineRule="auto"/>
              <w:jc w:val="both"/>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整体交通体系规划的科学性、先进性和实用性评价。优秀计10分，良好计8分，一般计5分，较差计3分。</w:t>
            </w:r>
          </w:p>
        </w:tc>
        <w:tc>
          <w:tcPr>
            <w:tcW w:w="951" w:type="dxa"/>
            <w:vAlign w:val="center"/>
          </w:tcPr>
          <w:p>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742" w:type="dxa"/>
            <w:vMerge w:val="restart"/>
            <w:vAlign w:val="center"/>
          </w:tcPr>
          <w:p>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7</w:t>
            </w:r>
          </w:p>
        </w:tc>
        <w:tc>
          <w:tcPr>
            <w:tcW w:w="1718" w:type="dxa"/>
            <w:vMerge w:val="restart"/>
            <w:vAlign w:val="center"/>
          </w:tcPr>
          <w:p>
            <w:pPr>
              <w:pStyle w:val="8"/>
              <w:keepNext w:val="0"/>
              <w:keepLines w:val="0"/>
              <w:pageBreakBefore w:val="0"/>
              <w:widowControl w:val="0"/>
              <w:kinsoku/>
              <w:wordWrap/>
              <w:overflowPunct/>
              <w:topLinePunct w:val="0"/>
              <w:autoSpaceDE w:val="0"/>
              <w:autoSpaceDN w:val="0"/>
              <w:bidi w:val="0"/>
              <w:adjustRightInd/>
              <w:snapToGrid/>
              <w:spacing w:before="1" w:line="240" w:lineRule="auto"/>
              <w:ind w:right="114"/>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商业模式与技术可行性、可操作性</w:t>
            </w:r>
          </w:p>
          <w:p>
            <w:pPr>
              <w:pStyle w:val="8"/>
              <w:keepNext w:val="0"/>
              <w:keepLines w:val="0"/>
              <w:pageBreakBefore w:val="0"/>
              <w:widowControl w:val="0"/>
              <w:kinsoku/>
              <w:wordWrap/>
              <w:overflowPunct/>
              <w:topLinePunct w:val="0"/>
              <w:autoSpaceDE w:val="0"/>
              <w:autoSpaceDN w:val="0"/>
              <w:bidi w:val="0"/>
              <w:adjustRightInd/>
              <w:snapToGrid/>
              <w:spacing w:before="1" w:line="240" w:lineRule="auto"/>
              <w:ind w:right="114"/>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（10分）</w:t>
            </w:r>
          </w:p>
        </w:tc>
        <w:tc>
          <w:tcPr>
            <w:tcW w:w="4990"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110" w:line="240" w:lineRule="auto"/>
              <w:ind w:right="95"/>
              <w:jc w:val="both"/>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提出合理先进的商业模式，具有较强的市场效益、社会效益和生态效益。优秀计5分，良好计3分，一般计2分，较差计0分。</w:t>
            </w:r>
          </w:p>
        </w:tc>
        <w:tc>
          <w:tcPr>
            <w:tcW w:w="951" w:type="dxa"/>
            <w:vAlign w:val="center"/>
          </w:tcPr>
          <w:p>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74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宋体"/>
                <w:color w:val="000000"/>
                <w:kern w:val="2"/>
                <w:sz w:val="24"/>
                <w:szCs w:val="24"/>
                <w:lang w:val="en-US" w:eastAsia="zh-CN" w:bidi="ar-SA"/>
              </w:rPr>
            </w:pPr>
          </w:p>
        </w:tc>
        <w:tc>
          <w:tcPr>
            <w:tcW w:w="1718"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宋体"/>
                <w:color w:val="000000"/>
                <w:kern w:val="2"/>
                <w:sz w:val="24"/>
                <w:szCs w:val="24"/>
                <w:lang w:val="en-US" w:eastAsia="zh-CN" w:bidi="ar-SA"/>
              </w:rPr>
            </w:pPr>
          </w:p>
        </w:tc>
        <w:tc>
          <w:tcPr>
            <w:tcW w:w="4990"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109" w:line="240" w:lineRule="auto"/>
              <w:jc w:val="both"/>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商业模式与技术的可行性、可操作性。优秀计5分，良好计3分，一般计2分，较差计0分。</w:t>
            </w:r>
          </w:p>
        </w:tc>
        <w:tc>
          <w:tcPr>
            <w:tcW w:w="951" w:type="dxa"/>
            <w:vAlign w:val="center"/>
          </w:tcPr>
          <w:p>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742" w:type="dxa"/>
            <w:vAlign w:val="center"/>
          </w:tcPr>
          <w:p>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8</w:t>
            </w:r>
          </w:p>
        </w:tc>
        <w:tc>
          <w:tcPr>
            <w:tcW w:w="1718"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111" w:line="240" w:lineRule="auto"/>
              <w:ind w:right="114"/>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合理化保障建议（5分）</w:t>
            </w:r>
          </w:p>
        </w:tc>
        <w:tc>
          <w:tcPr>
            <w:tcW w:w="4990" w:type="dxa"/>
            <w:vAlign w:val="center"/>
          </w:tcPr>
          <w:p>
            <w:pPr>
              <w:pStyle w:val="8"/>
              <w:keepNext w:val="0"/>
              <w:keepLines w:val="0"/>
              <w:pageBreakBefore w:val="0"/>
              <w:widowControl w:val="0"/>
              <w:kinsoku/>
              <w:wordWrap/>
              <w:overflowPunct/>
              <w:topLinePunct w:val="0"/>
              <w:autoSpaceDE w:val="0"/>
              <w:autoSpaceDN w:val="0"/>
              <w:bidi w:val="0"/>
              <w:adjustRightInd/>
              <w:snapToGrid/>
              <w:spacing w:before="171" w:line="240" w:lineRule="auto"/>
              <w:ind w:right="97"/>
              <w:jc w:val="both"/>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提供概念策划及产业规划实施方案的保障建议。优秀计5分，良好计3分，一般计2分，较差计0分。</w:t>
            </w:r>
          </w:p>
        </w:tc>
        <w:tc>
          <w:tcPr>
            <w:tcW w:w="951" w:type="dxa"/>
            <w:vAlign w:val="center"/>
          </w:tcPr>
          <w:p>
            <w:pPr>
              <w:pStyle w:val="8"/>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宋体" w:eastAsia="仿宋_GB2312" w:cs="宋体"/>
                <w:color w:val="000000"/>
                <w:kern w:val="2"/>
                <w:sz w:val="24"/>
                <w:szCs w:val="24"/>
                <w:lang w:val="en-US" w:eastAsia="zh-CN" w:bidi="ar-SA"/>
              </w:rPr>
            </w:pPr>
            <w:r>
              <w:rPr>
                <w:rFonts w:hint="eastAsia" w:ascii="仿宋_GB2312" w:hAnsi="宋体" w:eastAsia="仿宋_GB2312" w:cs="宋体"/>
                <w:color w:val="000000"/>
                <w:kern w:val="2"/>
                <w:sz w:val="24"/>
                <w:szCs w:val="24"/>
                <w:lang w:val="en-US" w:eastAsia="zh-CN" w:bidi="ar-SA"/>
              </w:rPr>
              <w:t>5分</w:t>
            </w:r>
          </w:p>
        </w:tc>
      </w:tr>
    </w:tbl>
    <w:p>
      <w:pPr>
        <w:pStyle w:val="3"/>
        <w:spacing w:before="3"/>
        <w:rPr>
          <w:sz w:val="8"/>
        </w:rPr>
      </w:pPr>
    </w:p>
    <w:p>
      <w:pPr>
        <w:pStyle w:val="3"/>
        <w:keepNext w:val="0"/>
        <w:keepLines w:val="0"/>
        <w:pageBreakBefore w:val="0"/>
        <w:widowControl w:val="0"/>
        <w:kinsoku/>
        <w:wordWrap/>
        <w:overflowPunct/>
        <w:topLinePunct w:val="0"/>
        <w:autoSpaceDE w:val="0"/>
        <w:autoSpaceDN w:val="0"/>
        <w:bidi w:val="0"/>
        <w:adjustRightInd/>
        <w:snapToGrid/>
        <w:spacing w:before="0" w:line="620" w:lineRule="exact"/>
        <w:ind w:firstLine="640" w:firstLineChars="200"/>
        <w:jc w:val="both"/>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二、价格部分：（10分）</w:t>
      </w:r>
    </w:p>
    <w:p>
      <w:pPr>
        <w:pStyle w:val="3"/>
        <w:keepNext w:val="0"/>
        <w:keepLines w:val="0"/>
        <w:pageBreakBefore w:val="0"/>
        <w:widowControl w:val="0"/>
        <w:kinsoku/>
        <w:wordWrap/>
        <w:overflowPunct/>
        <w:topLinePunct w:val="0"/>
        <w:autoSpaceDE w:val="0"/>
        <w:autoSpaceDN w:val="0"/>
        <w:bidi w:val="0"/>
        <w:adjustRightInd/>
        <w:snapToGrid/>
        <w:spacing w:before="0" w:line="620" w:lineRule="exact"/>
        <w:ind w:firstLine="640" w:firstLineChars="200"/>
        <w:jc w:val="both"/>
        <w:textAlignment w:val="auto"/>
        <w:rPr>
          <w:rFonts w:hint="eastAsia" w:ascii="仿宋_GB2312" w:hAnsi="宋体" w:eastAsia="仿宋_GB2312" w:cs="宋体"/>
          <w:color w:val="000000"/>
          <w:kern w:val="2"/>
          <w:sz w:val="32"/>
          <w:szCs w:val="32"/>
          <w:lang w:val="en-US" w:eastAsia="zh-CN" w:bidi="ar-SA"/>
        </w:rPr>
      </w:pPr>
      <w:r>
        <w:rPr>
          <w:rFonts w:hint="eastAsia" w:ascii="仿宋_GB2312" w:hAnsi="宋体" w:eastAsia="仿宋_GB2312" w:cs="宋体"/>
          <w:color w:val="000000"/>
          <w:kern w:val="2"/>
          <w:sz w:val="32"/>
          <w:szCs w:val="32"/>
          <w:lang w:val="en-US" w:eastAsia="zh-CN" w:bidi="ar-SA"/>
        </w:rPr>
        <w:t>参赛单位对第一名中标酬金为360万进行响应并承诺，有承诺书的计10分，没有的计0分。</w:t>
      </w:r>
    </w:p>
    <w:p>
      <w:pPr>
        <w:pStyle w:val="3"/>
        <w:keepNext w:val="0"/>
        <w:keepLines w:val="0"/>
        <w:pageBreakBefore w:val="0"/>
        <w:widowControl w:val="0"/>
        <w:kinsoku/>
        <w:wordWrap/>
        <w:overflowPunct/>
        <w:topLinePunct w:val="0"/>
        <w:autoSpaceDE w:val="0"/>
        <w:autoSpaceDN w:val="0"/>
        <w:bidi w:val="0"/>
        <w:adjustRightInd/>
        <w:snapToGrid/>
        <w:spacing w:before="0" w:line="620" w:lineRule="exact"/>
        <w:ind w:right="266" w:firstLine="640" w:firstLineChars="200"/>
        <w:jc w:val="both"/>
        <w:textAlignment w:val="auto"/>
        <w:rPr>
          <w:rFonts w:hint="eastAsia" w:ascii="仿宋_GB2312" w:hAnsi="宋体" w:eastAsia="仿宋_GB2312" w:cs="宋体"/>
          <w:color w:val="000000"/>
          <w:kern w:val="2"/>
          <w:sz w:val="32"/>
          <w:szCs w:val="32"/>
          <w:lang w:val="en-US" w:eastAsia="zh-CN" w:bidi="ar-SA"/>
        </w:rPr>
      </w:pPr>
      <w:r>
        <w:rPr>
          <w:rFonts w:hint="eastAsia" w:ascii="仿宋_GB2312" w:hAnsi="宋体" w:eastAsia="仿宋_GB2312" w:cs="宋体"/>
          <w:color w:val="000000"/>
          <w:kern w:val="2"/>
          <w:sz w:val="32"/>
          <w:szCs w:val="32"/>
          <w:lang w:val="en-US" w:eastAsia="zh-CN" w:bidi="ar-SA"/>
        </w:rPr>
        <w:t>每家参赛单位仅允许提交一份设计方案，现场述标时</w:t>
      </w:r>
      <w:r>
        <w:rPr>
          <w:rFonts w:hint="eastAsia" w:ascii="仿宋_GB2312" w:eastAsia="仿宋_GB2312" w:cs="宋体"/>
          <w:color w:val="000000"/>
          <w:kern w:val="2"/>
          <w:sz w:val="32"/>
          <w:szCs w:val="32"/>
          <w:lang w:val="en-US" w:eastAsia="zh-CN" w:bidi="ar-SA"/>
        </w:rPr>
        <w:t>长</w:t>
      </w:r>
      <w:r>
        <w:rPr>
          <w:rFonts w:hint="eastAsia" w:ascii="仿宋_GB2312" w:hAnsi="宋体" w:eastAsia="仿宋_GB2312" w:cs="宋体"/>
          <w:color w:val="000000"/>
          <w:kern w:val="2"/>
          <w:sz w:val="32"/>
          <w:szCs w:val="32"/>
          <w:lang w:val="en-US" w:eastAsia="zh-CN" w:bidi="ar-SA"/>
        </w:rPr>
        <w:t>为30分钟，经过专家评审，选出前六名</w:t>
      </w:r>
      <w:r>
        <w:rPr>
          <w:rFonts w:hint="eastAsia" w:ascii="仿宋_GB2312" w:eastAsia="仿宋_GB2312" w:cs="宋体"/>
          <w:color w:val="000000"/>
          <w:kern w:val="2"/>
          <w:sz w:val="32"/>
          <w:szCs w:val="32"/>
          <w:lang w:val="en-US" w:eastAsia="zh-CN" w:bidi="ar-SA"/>
        </w:rPr>
        <w:t>（不</w:t>
      </w:r>
      <w:r>
        <w:rPr>
          <w:rFonts w:hint="eastAsia" w:ascii="仿宋_GB2312" w:hAnsi="宋体" w:eastAsia="仿宋_GB2312" w:cs="宋体"/>
          <w:color w:val="000000"/>
          <w:kern w:val="2"/>
          <w:sz w:val="32"/>
          <w:szCs w:val="32"/>
          <w:lang w:val="en-US" w:eastAsia="zh-CN" w:bidi="ar-SA"/>
        </w:rPr>
        <w:t>排序</w:t>
      </w:r>
      <w:r>
        <w:rPr>
          <w:rFonts w:hint="eastAsia" w:ascii="仿宋_GB2312" w:eastAsia="仿宋_GB2312" w:cs="宋体"/>
          <w:color w:val="000000"/>
          <w:kern w:val="2"/>
          <w:sz w:val="32"/>
          <w:szCs w:val="32"/>
          <w:lang w:val="en-US" w:eastAsia="zh-CN" w:bidi="ar-SA"/>
        </w:rPr>
        <w:t>）以</w:t>
      </w:r>
      <w:r>
        <w:rPr>
          <w:rFonts w:hint="eastAsia" w:ascii="仿宋_GB2312" w:hAnsi="宋体" w:eastAsia="仿宋_GB2312" w:cs="宋体"/>
          <w:color w:val="000000"/>
          <w:kern w:val="2"/>
          <w:sz w:val="32"/>
          <w:szCs w:val="32"/>
          <w:lang w:val="en-US" w:eastAsia="zh-CN" w:bidi="ar-SA"/>
        </w:rPr>
        <w:t>及七至十二名</w:t>
      </w:r>
      <w:r>
        <w:rPr>
          <w:rFonts w:hint="eastAsia" w:ascii="仿宋_GB2312" w:eastAsia="仿宋_GB2312" w:cs="宋体"/>
          <w:color w:val="000000"/>
          <w:kern w:val="2"/>
          <w:sz w:val="32"/>
          <w:szCs w:val="32"/>
          <w:lang w:val="en-US" w:eastAsia="zh-CN" w:bidi="ar-SA"/>
        </w:rPr>
        <w:t>（按得分高低</w:t>
      </w:r>
      <w:r>
        <w:rPr>
          <w:rFonts w:hint="eastAsia" w:ascii="仿宋_GB2312" w:hAnsi="宋体" w:eastAsia="仿宋_GB2312" w:cs="宋体"/>
          <w:color w:val="000000"/>
          <w:kern w:val="2"/>
          <w:sz w:val="32"/>
          <w:szCs w:val="32"/>
          <w:lang w:val="en-US" w:eastAsia="zh-CN" w:bidi="ar-SA"/>
        </w:rPr>
        <w:t>排序</w:t>
      </w:r>
      <w:r>
        <w:rPr>
          <w:rFonts w:hint="eastAsia" w:ascii="仿宋_GB2312" w:eastAsia="仿宋_GB2312" w:cs="宋体"/>
          <w:color w:val="000000"/>
          <w:kern w:val="2"/>
          <w:sz w:val="32"/>
          <w:szCs w:val="32"/>
          <w:lang w:val="en-US" w:eastAsia="zh-CN" w:bidi="ar-SA"/>
        </w:rPr>
        <w:t>）</w:t>
      </w:r>
      <w:r>
        <w:rPr>
          <w:rFonts w:hint="eastAsia" w:ascii="仿宋_GB2312" w:hAnsi="宋体" w:eastAsia="仿宋_GB2312" w:cs="宋体"/>
          <w:color w:val="000000"/>
          <w:kern w:val="2"/>
          <w:sz w:val="32"/>
          <w:szCs w:val="32"/>
          <w:lang w:val="en-US" w:eastAsia="zh-CN" w:bidi="ar-SA"/>
        </w:rPr>
        <w:t>，并对前六名方案提出优化意见（方案优化不计费用）</w:t>
      </w:r>
      <w:r>
        <w:rPr>
          <w:rFonts w:hint="eastAsia" w:ascii="仿宋_GB2312" w:eastAsia="仿宋_GB2312" w:cs="宋体"/>
          <w:color w:val="000000"/>
          <w:kern w:val="2"/>
          <w:sz w:val="32"/>
          <w:szCs w:val="32"/>
          <w:lang w:val="en-US" w:eastAsia="zh-CN" w:bidi="ar-SA"/>
        </w:rPr>
        <w:t>，之</w:t>
      </w:r>
      <w:r>
        <w:rPr>
          <w:rFonts w:hint="eastAsia" w:ascii="仿宋_GB2312" w:hAnsi="宋体" w:eastAsia="仿宋_GB2312" w:cs="宋体"/>
          <w:color w:val="000000"/>
          <w:kern w:val="2"/>
          <w:sz w:val="32"/>
          <w:szCs w:val="32"/>
          <w:lang w:val="en-US" w:eastAsia="zh-CN" w:bidi="ar-SA"/>
        </w:rPr>
        <w:t>后择期进行定标</w:t>
      </w:r>
      <w:r>
        <w:rPr>
          <w:rFonts w:hint="eastAsia" w:ascii="仿宋_GB2312" w:eastAsia="仿宋_GB2312" w:cs="宋体"/>
          <w:color w:val="000000"/>
          <w:kern w:val="2"/>
          <w:sz w:val="32"/>
          <w:szCs w:val="32"/>
          <w:lang w:val="en-US" w:eastAsia="zh-CN" w:bidi="ar-SA"/>
        </w:rPr>
        <w:t>。</w:t>
      </w:r>
      <w:r>
        <w:rPr>
          <w:rFonts w:hint="eastAsia" w:ascii="仿宋_GB2312" w:hAnsi="宋体" w:eastAsia="仿宋_GB2312" w:cs="宋体"/>
          <w:color w:val="000000"/>
          <w:kern w:val="2"/>
          <w:sz w:val="32"/>
          <w:szCs w:val="32"/>
          <w:lang w:val="en-US" w:eastAsia="zh-CN" w:bidi="ar-SA"/>
        </w:rPr>
        <w:t>主办方保留</w:t>
      </w:r>
      <w:r>
        <w:rPr>
          <w:rFonts w:hint="eastAsia" w:ascii="仿宋_GB2312" w:eastAsia="仿宋_GB2312" w:cs="宋体"/>
          <w:color w:val="000000"/>
          <w:kern w:val="2"/>
          <w:sz w:val="32"/>
          <w:szCs w:val="32"/>
          <w:lang w:val="en-US" w:eastAsia="zh-CN" w:bidi="ar-SA"/>
        </w:rPr>
        <w:t>再次</w:t>
      </w:r>
      <w:r>
        <w:rPr>
          <w:rFonts w:hint="eastAsia" w:ascii="仿宋_GB2312" w:hAnsi="宋体" w:eastAsia="仿宋_GB2312" w:cs="宋体"/>
          <w:color w:val="000000"/>
          <w:kern w:val="2"/>
          <w:sz w:val="32"/>
          <w:szCs w:val="32"/>
          <w:lang w:val="en-US" w:eastAsia="zh-CN" w:bidi="ar-SA"/>
        </w:rPr>
        <w:t>调整日期安排的权利。</w:t>
      </w:r>
    </w:p>
    <w:p>
      <w:pPr>
        <w:pStyle w:val="3"/>
        <w:keepNext w:val="0"/>
        <w:keepLines w:val="0"/>
        <w:pageBreakBefore w:val="0"/>
        <w:widowControl w:val="0"/>
        <w:kinsoku/>
        <w:wordWrap/>
        <w:overflowPunct/>
        <w:topLinePunct w:val="0"/>
        <w:autoSpaceDE w:val="0"/>
        <w:autoSpaceDN w:val="0"/>
        <w:bidi w:val="0"/>
        <w:adjustRightInd/>
        <w:snapToGrid/>
        <w:spacing w:before="0" w:line="620" w:lineRule="exact"/>
        <w:ind w:right="266" w:firstLine="640" w:firstLineChars="200"/>
        <w:jc w:val="both"/>
        <w:textAlignment w:val="auto"/>
        <w:rPr>
          <w:rFonts w:hint="default" w:ascii="仿宋_GB2312" w:hAnsi="宋体" w:eastAsia="仿宋_GB2312" w:cs="宋体"/>
          <w:color w:val="000000"/>
          <w:kern w:val="2"/>
          <w:sz w:val="32"/>
          <w:szCs w:val="32"/>
          <w:lang w:val="en-US" w:eastAsia="zh-CN" w:bidi="ar-SA"/>
        </w:rPr>
      </w:pPr>
      <w:r>
        <w:rPr>
          <w:rFonts w:hint="eastAsia" w:ascii="仿宋_GB2312" w:hAnsi="宋体" w:eastAsia="仿宋_GB2312" w:cs="宋体"/>
          <w:color w:val="000000"/>
          <w:kern w:val="2"/>
          <w:sz w:val="32"/>
          <w:szCs w:val="32"/>
          <w:lang w:val="en-US" w:eastAsia="zh-CN" w:bidi="ar-SA"/>
        </w:rPr>
        <w:t>本评分细则的最终解释权归湖南岳阳楼·洞庭湖文化旅游度假区管委会规划建设部。</w:t>
      </w:r>
    </w:p>
    <w:p>
      <w:pPr>
        <w:pStyle w:val="4"/>
        <w:rPr>
          <w:rFonts w:hint="eastAsia" w:ascii="仿宋_GB2312" w:hAnsi="宋体" w:eastAsia="仿宋_GB2312" w:cs="宋体"/>
          <w:color w:val="000000"/>
          <w:kern w:val="2"/>
          <w:sz w:val="32"/>
          <w:szCs w:val="32"/>
          <w:lang w:val="en-US" w:eastAsia="zh-CN" w:bidi="ar-SA"/>
        </w:rPr>
      </w:pPr>
    </w:p>
    <w:p>
      <w:pPr>
        <w:rPr>
          <w:rFonts w:hint="eastAsia"/>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620" w:lineRule="exact"/>
        <w:ind w:right="266" w:firstLine="640" w:firstLineChars="200"/>
        <w:jc w:val="right"/>
        <w:textAlignment w:val="auto"/>
        <w:rPr>
          <w:rFonts w:hint="eastAsia" w:ascii="仿宋_GB2312" w:hAnsi="宋体" w:eastAsia="仿宋_GB2312" w:cs="宋体"/>
          <w:color w:val="000000"/>
          <w:kern w:val="2"/>
          <w:sz w:val="32"/>
          <w:szCs w:val="32"/>
          <w:lang w:val="en-US" w:eastAsia="zh-CN" w:bidi="ar-SA"/>
        </w:rPr>
      </w:pPr>
      <w:r>
        <w:rPr>
          <w:rFonts w:hint="eastAsia" w:ascii="仿宋_GB2312" w:hAnsi="宋体" w:eastAsia="仿宋_GB2312" w:cs="宋体"/>
          <w:color w:val="000000"/>
          <w:kern w:val="2"/>
          <w:sz w:val="32"/>
          <w:szCs w:val="32"/>
          <w:lang w:val="en-US" w:eastAsia="zh-CN" w:bidi="ar-SA"/>
        </w:rPr>
        <w:t>湖南岳阳楼·洞庭湖文化旅游度假区管委会</w:t>
      </w:r>
    </w:p>
    <w:p>
      <w:pPr>
        <w:pStyle w:val="3"/>
        <w:keepNext w:val="0"/>
        <w:keepLines w:val="0"/>
        <w:pageBreakBefore w:val="0"/>
        <w:widowControl w:val="0"/>
        <w:kinsoku/>
        <w:wordWrap w:val="0"/>
        <w:overflowPunct/>
        <w:topLinePunct w:val="0"/>
        <w:autoSpaceDE w:val="0"/>
        <w:autoSpaceDN w:val="0"/>
        <w:bidi w:val="0"/>
        <w:adjustRightInd/>
        <w:snapToGrid/>
        <w:spacing w:before="0" w:line="620" w:lineRule="exact"/>
        <w:ind w:right="266" w:firstLine="640" w:firstLineChars="200"/>
        <w:jc w:val="right"/>
        <w:textAlignment w:val="auto"/>
        <w:rPr>
          <w:sz w:val="28"/>
        </w:rPr>
      </w:pPr>
      <w:r>
        <w:rPr>
          <w:rFonts w:hint="eastAsia" w:ascii="仿宋_GB2312" w:hAnsi="宋体" w:eastAsia="仿宋_GB2312" w:cs="宋体"/>
          <w:color w:val="000000"/>
          <w:kern w:val="2"/>
          <w:sz w:val="32"/>
          <w:szCs w:val="32"/>
          <w:lang w:val="en-US" w:eastAsia="zh-CN" w:bidi="ar-SA"/>
        </w:rPr>
        <w:t>2022年1月2</w:t>
      </w:r>
      <w:r>
        <w:rPr>
          <w:rFonts w:hint="eastAsia" w:ascii="仿宋_GB2312" w:eastAsia="仿宋_GB2312" w:cs="宋体"/>
          <w:color w:val="000000"/>
          <w:kern w:val="2"/>
          <w:sz w:val="32"/>
          <w:szCs w:val="32"/>
          <w:lang w:val="en-US" w:eastAsia="zh-CN" w:bidi="ar-SA"/>
        </w:rPr>
        <w:t>5</w:t>
      </w:r>
      <w:r>
        <w:rPr>
          <w:rFonts w:hint="eastAsia" w:ascii="仿宋_GB2312" w:hAnsi="宋体" w:eastAsia="仿宋_GB2312" w:cs="宋体"/>
          <w:color w:val="000000"/>
          <w:kern w:val="2"/>
          <w:sz w:val="32"/>
          <w:szCs w:val="32"/>
          <w:lang w:val="en-US" w:eastAsia="zh-CN" w:bidi="ar-SA"/>
        </w:rPr>
        <w:t xml:space="preserve">日  </w:t>
      </w:r>
      <w:bookmarkStart w:id="0" w:name="_GoBack"/>
      <w:bookmarkEnd w:id="0"/>
      <w:r>
        <w:rPr>
          <w:rFonts w:hint="eastAsia" w:ascii="仿宋_GB2312" w:hAnsi="宋体" w:eastAsia="仿宋_GB2312" w:cs="宋体"/>
          <w:color w:val="000000"/>
          <w:kern w:val="2"/>
          <w:sz w:val="32"/>
          <w:szCs w:val="32"/>
          <w:lang w:val="en-US" w:eastAsia="zh-CN" w:bidi="ar-SA"/>
        </w:rPr>
        <w:t xml:space="preserve">         </w:t>
      </w:r>
    </w:p>
    <w:p/>
    <w:sectPr>
      <w:footerReference r:id="rId5" w:type="default"/>
      <w:pgSz w:w="11910" w:h="16840"/>
      <w:pgMar w:top="1420" w:right="1420" w:bottom="280" w:left="1460" w:header="720" w:footer="720" w:gutter="0"/>
      <w:pgNumType w:fmt="decimal" w:start="2"/>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F7524"/>
    <w:rsid w:val="27694276"/>
    <w:rsid w:val="5F3F7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caption"/>
    <w:basedOn w:val="1"/>
    <w:next w:val="1"/>
    <w:qFormat/>
    <w:uiPriority w:val="0"/>
    <w:rPr>
      <w:rFonts w:ascii="Cambria" w:hAnsi="Cambria" w:eastAsia="黑体" w:cs="Times New Roman"/>
      <w:sz w:val="20"/>
    </w:rPr>
  </w:style>
  <w:style w:type="paragraph" w:styleId="3">
    <w:name w:val="Body Text"/>
    <w:basedOn w:val="1"/>
    <w:next w:val="4"/>
    <w:qFormat/>
    <w:uiPriority w:val="1"/>
    <w:rPr>
      <w:rFonts w:ascii="宋体" w:hAnsi="宋体" w:eastAsia="宋体" w:cs="宋体"/>
      <w:sz w:val="32"/>
      <w:szCs w:val="32"/>
      <w:lang w:val="zh-CN" w:eastAsia="zh-CN" w:bidi="zh-CN"/>
    </w:rPr>
  </w:style>
  <w:style w:type="paragraph" w:styleId="4">
    <w:name w:val="toc 2"/>
    <w:basedOn w:val="1"/>
    <w:next w:val="1"/>
    <w:unhideWhenUsed/>
    <w:qFormat/>
    <w:uiPriority w:val="39"/>
    <w:pPr>
      <w:spacing w:before="12" w:after="12" w:line="360" w:lineRule="auto"/>
    </w:pPr>
    <w:rPr>
      <w:rFonts w:ascii="等线" w:hAnsi="等线" w:eastAsia="等线"/>
      <w:b/>
      <w:szCs w:val="22"/>
    </w:rPr>
  </w:style>
  <w:style w:type="paragraph" w:styleId="5">
    <w:name w:val="footer"/>
    <w:basedOn w:val="1"/>
    <w:uiPriority w:val="0"/>
    <w:pPr>
      <w:tabs>
        <w:tab w:val="center" w:pos="4153"/>
        <w:tab w:val="right" w:pos="8306"/>
      </w:tabs>
      <w:snapToGrid w:val="0"/>
      <w:jc w:val="left"/>
    </w:pPr>
    <w:rPr>
      <w:sz w:val="18"/>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2022-01-25T02:13:00Z</dcterms:created>
  <dc:creator>lecoo</dc:creator>
  <cp:lastModifiedBy>Artless  lily</cp:lastModifiedBy>
  <dcterms:modified xsi:type="dcterms:W3CDTF">2022-01-25T09:45:11Z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C9945F5BFD8E42BF9579F717AA8A6F9E</vt:lpwstr>
  </property>
</Properties>
</file>