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outlineLvl w:val="0"/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Times New Roman" w:hAnsi="Times New Roman" w:eastAsia="黑体" w:cs="Times New Roman"/>
          <w:color w:val="auto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24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</w:pPr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 xml:space="preserve">2022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年湖南省初中起点乡村教师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公费定向培养计划相关政策说明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、公费定向师范生在校学习期间的学费、住宿费、教材费和军训服装费免缴，其所需费用由财政公费承担；并按国家和省有关规定享受奖助学金等资助政策，在资助政策规定的范围内与其他在校生享受同等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二、公费定向师范生在校学习期间，一律不得转学，原则上不得转专业。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三、公费定向师范生应在上岗前取得相应的教师资格，符合相应教师执证上岗条件，否则，按违约情形处理。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、公费定向师范生毕业后，依据招生计划所规定的服务地域和服务学校类型任教服务，本科毕业生服务时间不少于6年，专科毕业生服务时间不少于5年，其任教岗位和编制由签订协议的县市区按照相关规定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五、公费定向师范生在协议规定的服务期内，不得脱产攻读普通硕士学位，但可在职攻读教育硕士专业学位。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六、普通计划的公费定向师范生在协议规定的服务期内，经县级教育行政部门批准，可依据普通计划所规定的服务地域和服务学校类型，在所定向的县市区的相应学校间流动，或从事教育管理工作。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七、未能履行协议的公费定向师范生，按规定退还所享受的公费教育费用并缴纳违约金。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八、市州、县市区教育行政部门负责本行政区域内公费定向师范生的履约管理，建立诚信档案，公布公费定向师范生的违约记录，并将违约情况记入人事档案，负责管理退还的公费教育费用和违约金。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DkyNmIzOWYzMDRkMmY3MTE0NDJmNjIzZGRmYjQifQ=="/>
  </w:docVars>
  <w:rsids>
    <w:rsidRoot w:val="00000000"/>
    <w:rsid w:val="2BCF1B32"/>
    <w:rsid w:val="4FFA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759</Characters>
  <Lines>0</Lines>
  <Paragraphs>0</Paragraphs>
  <TotalTime>0</TotalTime>
  <ScaleCrop>false</ScaleCrop>
  <LinksUpToDate>false</LinksUpToDate>
  <CharactersWithSpaces>759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2021-06-22T09:41:00Z</dcterms:created>
  <dc:creator>lenovo</dc:creator>
  <cp:lastModifiedBy>彭涛</cp:lastModifiedBy>
  <dcterms:modified xsi:type="dcterms:W3CDTF">2022-06-30T06:46:25Z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E570021F24DE4AB8B35F536D93704AE8</vt:lpwstr>
  </property>
</Properties>
</file>