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napToGrid/>
        <w:spacing w:line="560" w:lineRule="exact"/>
        <w:jc w:val="center"/>
        <w:textAlignment w:val="top"/>
        <w:rPr>
          <w:rFonts w:hint="eastAsia" w:ascii="仿宋_GB2312" w:hAnsi="仿宋_GB2312" w:eastAsia="仿宋_GB2312" w:cs="仿宋_GB2312"/>
          <w:b w:val="0"/>
          <w:bCs/>
          <w:color w:val="000000"/>
          <w:kern w:val="2"/>
          <w:sz w:val="32"/>
          <w:szCs w:val="32"/>
        </w:rPr>
      </w:pPr>
    </w:p>
    <w:p>
      <w:pPr>
        <w:pStyle w:val="4"/>
        <w:keepNext w:val="0"/>
        <w:keepLines w:val="0"/>
        <w:pageBreakBefore w:val="0"/>
        <w:kinsoku/>
        <w:wordWrap/>
        <w:overflowPunct/>
        <w:topLinePunct w:val="0"/>
        <w:bidi w:val="0"/>
        <w:snapToGrid/>
        <w:spacing w:line="560" w:lineRule="exact"/>
        <w:jc w:val="center"/>
        <w:textAlignment w:val="top"/>
        <w:rPr>
          <w:rFonts w:hint="eastAsia" w:ascii="仿宋_GB2312" w:hAnsi="仿宋_GB2312" w:eastAsia="仿宋_GB2312" w:cs="仿宋_GB2312"/>
          <w:b w:val="0"/>
          <w:bCs/>
          <w:color w:val="000000"/>
          <w:kern w:val="2"/>
          <w:sz w:val="32"/>
          <w:szCs w:val="32"/>
        </w:rPr>
      </w:pPr>
    </w:p>
    <w:p>
      <w:pPr>
        <w:pStyle w:val="4"/>
        <w:keepNext w:val="0"/>
        <w:keepLines w:val="0"/>
        <w:pageBreakBefore w:val="0"/>
        <w:kinsoku/>
        <w:wordWrap/>
        <w:overflowPunct/>
        <w:topLinePunct w:val="0"/>
        <w:bidi w:val="0"/>
        <w:snapToGrid/>
        <w:spacing w:line="560" w:lineRule="exact"/>
        <w:jc w:val="center"/>
        <w:textAlignment w:val="top"/>
        <w:rPr>
          <w:rFonts w:hint="eastAsia" w:ascii="仿宋_GB2312" w:hAnsi="仿宋_GB2312" w:eastAsia="仿宋_GB2312" w:cs="仿宋_GB2312"/>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 w:hAnsi="仿宋" w:eastAsia="仿宋"/>
          <w:color w:val="000000"/>
          <w:sz w:val="30"/>
          <w:szCs w:val="30"/>
        </w:rPr>
        <w:t xml:space="preserve">                               </w:t>
      </w:r>
      <w:r>
        <w:rPr>
          <w:rFonts w:hint="eastAsia" w:ascii="仿宋_GB2312" w:hAnsi="仿宋_GB2312" w:eastAsia="仿宋_GB2312" w:cs="仿宋_GB2312"/>
          <w:sz w:val="32"/>
          <w:szCs w:val="32"/>
        </w:rPr>
        <w:t>岳南环评〔2022〕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val="0"/>
        <w:autoSpaceDN w:val="0"/>
        <w:bidi w:val="0"/>
        <w:adjustRightInd w:val="0"/>
        <w:snapToGrid/>
        <w:spacing w:line="560" w:lineRule="exact"/>
        <w:ind w:left="177" w:hanging="177"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关于岳阳兴长研发中心项目环境影响</w:t>
      </w:r>
    </w:p>
    <w:p>
      <w:pPr>
        <w:keepNext w:val="0"/>
        <w:keepLines w:val="0"/>
        <w:pageBreakBefore w:val="0"/>
        <w:kinsoku/>
        <w:wordWrap/>
        <w:overflowPunct/>
        <w:topLinePunct w:val="0"/>
        <w:autoSpaceDE w:val="0"/>
        <w:autoSpaceDN w:val="0"/>
        <w:bidi w:val="0"/>
        <w:adjustRightInd w:val="0"/>
        <w:snapToGrid/>
        <w:spacing w:line="560" w:lineRule="exact"/>
        <w:ind w:left="177" w:hanging="177" w:firstLineChars="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sz w:val="44"/>
          <w:szCs w:val="44"/>
        </w:rPr>
        <w:t>报告</w:t>
      </w: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rPr>
        <w:t>的批复</w:t>
      </w:r>
    </w:p>
    <w:p>
      <w:pPr>
        <w:pStyle w:val="4"/>
        <w:keepNext w:val="0"/>
        <w:keepLines w:val="0"/>
        <w:pageBreakBefore w:val="0"/>
        <w:kinsoku/>
        <w:wordWrap/>
        <w:overflowPunct/>
        <w:topLinePunct w:val="0"/>
        <w:bidi w:val="0"/>
        <w:snapToGrid/>
        <w:spacing w:line="560" w:lineRule="exact"/>
        <w:ind w:left="177" w:hanging="177" w:hangingChars="49"/>
        <w:jc w:val="both"/>
        <w:textAlignment w:val="top"/>
        <w:rPr>
          <w:rFonts w:ascii="仿宋" w:hAnsi="仿宋" w:eastAsia="仿宋" w:cs="黑体"/>
          <w:b/>
          <w:color w:val="FF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19" w:firstLineChars="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岳阳兴长石化股份有限公司：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你公司《关于</w:t>
      </w:r>
      <w:r>
        <w:rPr>
          <w:rFonts w:hint="eastAsia" w:ascii="仿宋_GB2312" w:hAnsi="仿宋_GB2312" w:eastAsia="仿宋_GB2312" w:cs="仿宋_GB2312"/>
          <w:sz w:val="32"/>
          <w:szCs w:val="32"/>
          <w:lang w:eastAsia="zh-CN"/>
        </w:rPr>
        <w:t>申请对</w:t>
      </w:r>
      <w:r>
        <w:rPr>
          <w:rFonts w:hint="eastAsia" w:ascii="仿宋_GB2312" w:hAnsi="仿宋_GB2312" w:eastAsia="仿宋_GB2312" w:cs="仿宋_GB2312"/>
          <w:sz w:val="32"/>
          <w:szCs w:val="32"/>
        </w:rPr>
        <w:t>岳阳兴长研发中心项目环境影响</w:t>
      </w:r>
      <w:r>
        <w:rPr>
          <w:rFonts w:hint="eastAsia" w:ascii="仿宋_GB2312" w:hAnsi="仿宋_GB2312" w:eastAsia="仿宋_GB2312" w:cs="仿宋_GB2312"/>
          <w:sz w:val="32"/>
          <w:szCs w:val="32"/>
          <w:lang w:eastAsia="zh-CN"/>
        </w:rPr>
        <w:t>报告表进行</w:t>
      </w:r>
      <w:r>
        <w:rPr>
          <w:rFonts w:hint="eastAsia" w:ascii="仿宋_GB2312" w:hAnsi="仿宋_GB2312" w:eastAsia="仿宋_GB2312" w:cs="仿宋_GB2312"/>
          <w:sz w:val="32"/>
          <w:szCs w:val="32"/>
        </w:rPr>
        <w:t>批复的</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及有关附件收悉。</w:t>
      </w:r>
      <w:r>
        <w:rPr>
          <w:rFonts w:hint="eastAsia" w:ascii="仿宋_GB2312" w:hAnsi="仿宋_GB2312" w:eastAsia="仿宋_GB2312" w:cs="仿宋_GB2312"/>
          <w:sz w:val="32"/>
          <w:szCs w:val="32"/>
        </w:rPr>
        <w:t>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eastAsia="zh-CN"/>
        </w:rPr>
        <w:t>一．岳阳兴长石化股份有限公司拟在南湖新区赶山路北侧、湘北女校东侧开展岳阳兴长研发中心项目。项目</w:t>
      </w:r>
      <w:r>
        <w:rPr>
          <w:rFonts w:hint="eastAsia" w:ascii="仿宋_GB2312" w:hAnsi="仿宋_GB2312" w:eastAsia="仿宋_GB2312" w:cs="仿宋_GB2312"/>
          <w:sz w:val="32"/>
          <w:szCs w:val="32"/>
          <w:lang w:val="en-US" w:eastAsia="zh-CN"/>
        </w:rPr>
        <w:t>总投资15000万元，其中环保投资1091万元。主要建设内容包括：</w:t>
      </w:r>
      <w:r>
        <w:rPr>
          <w:rFonts w:hint="eastAsia" w:ascii="仿宋_GB2312" w:hAnsi="仿宋_GB2312" w:eastAsia="仿宋_GB2312" w:cs="仿宋_GB2312"/>
          <w:color w:val="auto"/>
          <w:sz w:val="32"/>
          <w:szCs w:val="32"/>
          <w:highlight w:val="none"/>
          <w:lang w:val="en-US" w:eastAsia="zh-CN"/>
        </w:rPr>
        <w:t>新建科研办公实验楼1栋、人才公寓宿舍1栋及其相关环保、公用配套工程。该项目主要进行各类化工小试试验，为后期新技术产品开发提供前期技术支持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FF0000"/>
          <w:sz w:val="32"/>
          <w:szCs w:val="32"/>
          <w:lang w:val="en-US" w:eastAsia="zh-CN"/>
        </w:rPr>
        <w:t> </w:t>
      </w:r>
      <w:r>
        <w:rPr>
          <w:rFonts w:hint="eastAsia" w:ascii="仿宋_GB2312" w:hAnsi="仿宋_GB2312" w:eastAsia="仿宋_GB2312" w:cs="仿宋_GB2312"/>
          <w:sz w:val="32"/>
          <w:szCs w:val="32"/>
          <w:lang w:eastAsia="zh-CN"/>
        </w:rPr>
        <w:t>根据该项目环境影响报告表的基本内容、结论和专家评审意见，从环境保护方面分析，同意项目建设。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二．项目的建设和运营过程中必须全面落实环境影响报告表提出的各项生态环境保护措施，</w:t>
      </w:r>
      <w:r>
        <w:rPr>
          <w:rFonts w:hint="eastAsia" w:ascii="仿宋_GB2312" w:hAnsi="仿宋_GB2312" w:eastAsia="仿宋_GB2312" w:cs="仿宋_GB2312"/>
          <w:sz w:val="32"/>
          <w:szCs w:val="32"/>
        </w:rPr>
        <w:t>切实加强环境管理，</w:t>
      </w:r>
      <w:r>
        <w:rPr>
          <w:rFonts w:hint="eastAsia" w:ascii="仿宋_GB2312" w:hAnsi="仿宋_GB2312" w:eastAsia="仿宋_GB2312" w:cs="仿宋_GB2312"/>
          <w:sz w:val="32"/>
          <w:szCs w:val="32"/>
          <w:lang w:eastAsia="zh-CN"/>
        </w:rPr>
        <w:t>并着重做好以下工作：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切实做好施工期环境保护工作</w:t>
      </w:r>
      <w:r>
        <w:rPr>
          <w:rFonts w:hint="eastAsia" w:ascii="仿宋_GB2312" w:hAnsi="仿宋_GB2312" w:eastAsia="仿宋_GB2312" w:cs="仿宋_GB2312"/>
          <w:sz w:val="32"/>
          <w:szCs w:val="32"/>
          <w:lang w:eastAsia="zh-CN"/>
        </w:rPr>
        <w:t>。按照《岳阳市扬尘污染防治条例》有关要求落实扬尘防控措施，渣土物料运输采用密闭或其他遮覆方式，有效减轻施工及运输的扬尘污染影响。施工期执行《大气污染物综合排放标准》（GB16297-1996）中表2无组织排放浓度限值。施工期选用低噪声施工设备，合理安排作业时间，设置临时隔声屏障或围护结构等措施，确保施工噪声符合《建筑施工场界环境噪声排放标准》（GB12523-2011）要求。施工期施工废水回用、施工人员生活污水经临时化粪池处理后通过市政管网进入岳阳湖滨污水处理厂处理后达标排放，落实施工水保措施，防止施工水土流失。施工过程中的建筑垃圾、工程渣土等固体废物及时清运；生活垃圾收集后由环卫部门统一收集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2.加强大气污染防治工作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项目聚丙烯改性实验室产生的废气经</w:t>
      </w:r>
      <w:r>
        <w:rPr>
          <w:rFonts w:hint="eastAsia" w:ascii="仿宋_GB2312" w:hAnsi="仿宋_GB2312" w:eastAsia="仿宋_GB2312" w:cs="仿宋_GB2312"/>
          <w:color w:val="auto"/>
          <w:sz w:val="32"/>
          <w:szCs w:val="32"/>
          <w:lang w:val="en-US" w:eastAsia="zh-CN"/>
        </w:rPr>
        <w:t>活性炭吸附箱处理后</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米排气筒高空排放</w:t>
      </w:r>
      <w:r>
        <w:rPr>
          <w:rFonts w:hint="eastAsia" w:ascii="仿宋_GB2312" w:hAnsi="仿宋_GB2312" w:eastAsia="仿宋_GB2312" w:cs="仿宋_GB2312"/>
          <w:color w:val="auto"/>
          <w:sz w:val="32"/>
          <w:szCs w:val="32"/>
          <w:lang w:eastAsia="zh-CN"/>
        </w:rPr>
        <w:t>；特种聚烯烃实验室产生的废气经</w:t>
      </w:r>
      <w:r>
        <w:rPr>
          <w:rFonts w:hint="eastAsia" w:ascii="仿宋_GB2312" w:hAnsi="仿宋_GB2312" w:eastAsia="仿宋_GB2312" w:cs="仿宋_GB2312"/>
          <w:color w:val="auto"/>
          <w:sz w:val="32"/>
          <w:szCs w:val="32"/>
          <w:lang w:val="en-US" w:eastAsia="zh-CN"/>
        </w:rPr>
        <w:t>活性炭吸附箱处理后</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米排气筒高空排放</w:t>
      </w:r>
      <w:r>
        <w:rPr>
          <w:rFonts w:hint="eastAsia" w:ascii="仿宋_GB2312" w:hAnsi="仿宋_GB2312" w:eastAsia="仿宋_GB2312" w:cs="仿宋_GB2312"/>
          <w:color w:val="auto"/>
          <w:sz w:val="32"/>
          <w:szCs w:val="32"/>
          <w:lang w:eastAsia="zh-CN"/>
        </w:rPr>
        <w:t>；节能环保实验室产生的废气经</w:t>
      </w:r>
      <w:r>
        <w:rPr>
          <w:rFonts w:hint="eastAsia" w:ascii="仿宋_GB2312" w:hAnsi="仿宋_GB2312" w:eastAsia="仿宋_GB2312" w:cs="仿宋_GB2312"/>
          <w:color w:val="auto"/>
          <w:sz w:val="32"/>
          <w:szCs w:val="32"/>
          <w:lang w:val="en-US" w:eastAsia="zh-CN"/>
        </w:rPr>
        <w:t>无机酸雾洗涤塔处理后</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米排气筒高空排放</w:t>
      </w:r>
      <w:r>
        <w:rPr>
          <w:rFonts w:hint="eastAsia" w:ascii="仿宋_GB2312" w:hAnsi="仿宋_GB2312" w:eastAsia="仿宋_GB2312" w:cs="仿宋_GB2312"/>
          <w:color w:val="auto"/>
          <w:sz w:val="32"/>
          <w:szCs w:val="32"/>
          <w:lang w:eastAsia="zh-CN"/>
        </w:rPr>
        <w:t>；特种酚实验室产生的废气经</w:t>
      </w:r>
      <w:r>
        <w:rPr>
          <w:rFonts w:hint="eastAsia" w:ascii="仿宋_GB2312" w:hAnsi="仿宋_GB2312" w:eastAsia="仿宋_GB2312" w:cs="仿宋_GB2312"/>
          <w:color w:val="auto"/>
          <w:sz w:val="32"/>
          <w:szCs w:val="32"/>
          <w:lang w:val="en-US" w:eastAsia="zh-CN"/>
        </w:rPr>
        <w:t>活性炭吸附箱+无机酸雾洗涤塔处理后</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米排气筒高空排放</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颗粒物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NOx、</w:t>
      </w:r>
      <w:r>
        <w:rPr>
          <w:rFonts w:hint="eastAsia" w:ascii="仿宋_GB2312" w:hAnsi="仿宋_GB2312" w:eastAsia="仿宋_GB2312" w:cs="仿宋_GB2312"/>
          <w:color w:val="auto"/>
          <w:sz w:val="32"/>
          <w:szCs w:val="32"/>
          <w:lang w:eastAsia="zh-CN"/>
        </w:rPr>
        <w:t>氯化氢、非甲烷总烃执行</w:t>
      </w:r>
      <w:r>
        <w:rPr>
          <w:rFonts w:hint="eastAsia" w:ascii="仿宋_GB2312" w:hAnsi="仿宋_GB2312" w:eastAsia="仿宋_GB2312" w:cs="仿宋_GB2312"/>
          <w:color w:val="auto"/>
          <w:sz w:val="32"/>
          <w:szCs w:val="32"/>
        </w:rPr>
        <w:t>《大气污染物综合排放标准》（GB16297-1996）</w:t>
      </w:r>
      <w:r>
        <w:rPr>
          <w:rFonts w:hint="eastAsia" w:ascii="仿宋_GB2312" w:hAnsi="仿宋_GB2312" w:eastAsia="仿宋_GB2312" w:cs="仿宋_GB2312"/>
          <w:color w:val="auto"/>
          <w:sz w:val="32"/>
          <w:szCs w:val="32"/>
          <w:lang w:eastAsia="zh-CN"/>
        </w:rPr>
        <w:t>中表</w:t>
      </w:r>
      <w:r>
        <w:rPr>
          <w:rFonts w:hint="eastAsia" w:ascii="仿宋_GB2312" w:hAnsi="仿宋_GB2312" w:eastAsia="仿宋_GB2312" w:cs="仿宋_GB2312"/>
          <w:color w:val="auto"/>
          <w:sz w:val="32"/>
          <w:szCs w:val="32"/>
          <w:lang w:val="en-US" w:eastAsia="zh-CN"/>
        </w:rPr>
        <w:t>2相关</w:t>
      </w:r>
      <w:r>
        <w:rPr>
          <w:rFonts w:hint="eastAsia" w:ascii="仿宋_GB2312" w:hAnsi="仿宋_GB2312" w:eastAsia="仿宋_GB2312" w:cs="仿宋_GB2312"/>
          <w:color w:val="auto"/>
          <w:sz w:val="32"/>
          <w:szCs w:val="32"/>
          <w:lang w:eastAsia="zh-CN"/>
        </w:rPr>
        <w:t>排放限值要求。</w:t>
      </w:r>
      <w:r>
        <w:rPr>
          <w:rFonts w:hint="eastAsia" w:ascii="仿宋_GB2312" w:hAnsi="仿宋_GB2312" w:eastAsia="仿宋_GB2312" w:cs="仿宋_GB2312"/>
          <w:sz w:val="32"/>
          <w:szCs w:val="32"/>
          <w:lang w:eastAsia="zh-CN"/>
        </w:rPr>
        <w:t>场界非甲烷总烃无组织排放限值执行《大气污染物综合排放标准》（GB 16297-1996）相关要求；场区内VOCs无组织排放限值执行《挥发性有机物无组织排放控制标准》（GB 37822-2019）相关要求；食堂油烟执行《饮食业油烟排放标准（试行）》（GB18483-2001）中相关要求；场界</w:t>
      </w:r>
      <w:r>
        <w:rPr>
          <w:rFonts w:hint="eastAsia" w:ascii="仿宋_GB2312" w:hAnsi="仿宋_GB2312" w:eastAsia="仿宋_GB2312" w:cs="仿宋_GB2312"/>
          <w:color w:val="000000"/>
          <w:sz w:val="32"/>
          <w:szCs w:val="32"/>
        </w:rPr>
        <w:t>硫化氢、氨执行《恶臭污染物排放标准》（GB14554-93）</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3.加强废水污染防治工作</w:t>
      </w:r>
      <w:r>
        <w:rPr>
          <w:rFonts w:hint="eastAsia" w:ascii="仿宋_GB2312" w:hAnsi="仿宋_GB2312" w:eastAsia="仿宋_GB2312" w:cs="仿宋_GB2312"/>
          <w:sz w:val="32"/>
          <w:szCs w:val="32"/>
          <w:lang w:eastAsia="zh-CN"/>
        </w:rPr>
        <w:t>。项目食堂废水经隔油、化粪池预处理；生活废水经化粪池预处理；实验室废水经实验室综合废水处理系统进行预处理；项目废水经预处理达到《污水综合排放标准》（GB8978-1996）中表4三级排放标准及岳阳湖滨污水处理厂进水接管标准后再通过污水管网排入岳阳湖滨污水处理厂进行深度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4.加强噪声污染防治工作</w:t>
      </w:r>
      <w:r>
        <w:rPr>
          <w:rFonts w:hint="eastAsia" w:ascii="仿宋_GB2312" w:hAnsi="仿宋_GB2312" w:eastAsia="仿宋_GB2312" w:cs="仿宋_GB2312"/>
          <w:sz w:val="32"/>
          <w:szCs w:val="32"/>
          <w:lang w:eastAsia="zh-CN"/>
        </w:rPr>
        <w:t>。选用低噪声设备、对产生噪声的设备和工序进行合理布局，确保项目场界噪声达到</w:t>
      </w:r>
      <w:r>
        <w:rPr>
          <w:rFonts w:hint="eastAsia" w:ascii="仿宋_GB2312" w:hAnsi="仿宋_GB2312" w:eastAsia="仿宋_GB2312" w:cs="仿宋_GB2312"/>
          <w:color w:val="000000"/>
          <w:kern w:val="2"/>
          <w:sz w:val="32"/>
          <w:szCs w:val="32"/>
        </w:rPr>
        <w:t>《工业企业厂界环境噪声排放标准》(GB12348-2008)</w:t>
      </w:r>
      <w:r>
        <w:rPr>
          <w:rFonts w:hint="eastAsia" w:ascii="仿宋_GB2312" w:hAnsi="仿宋_GB2312" w:eastAsia="仿宋_GB2312" w:cs="仿宋_GB2312"/>
          <w:color w:val="000000"/>
          <w:kern w:val="2"/>
          <w:sz w:val="32"/>
          <w:szCs w:val="32"/>
          <w:lang w:eastAsia="zh-CN"/>
        </w:rPr>
        <w:t>中</w:t>
      </w: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sz w:val="32"/>
          <w:szCs w:val="32"/>
          <w:lang w:val="en-US" w:eastAsia="zh-CN"/>
        </w:rPr>
        <w:t>类标准，其中</w:t>
      </w:r>
      <w:r>
        <w:rPr>
          <w:rFonts w:hint="eastAsia" w:ascii="仿宋_GB2312" w:hAnsi="仿宋_GB2312" w:eastAsia="仿宋_GB2312" w:cs="仿宋_GB2312"/>
          <w:sz w:val="32"/>
          <w:szCs w:val="32"/>
          <w:lang w:eastAsia="zh-CN"/>
        </w:rPr>
        <w:t>南侧临赶山路，执行</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sz w:val="32"/>
          <w:szCs w:val="32"/>
          <w:lang w:val="en-US" w:eastAsia="zh-CN"/>
        </w:rPr>
        <w:t>类标准。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5.加强固体废物污染防治工作</w:t>
      </w:r>
      <w:r>
        <w:rPr>
          <w:rFonts w:hint="eastAsia" w:ascii="仿宋_GB2312" w:hAnsi="仿宋_GB2312" w:eastAsia="仿宋_GB2312" w:cs="仿宋_GB2312"/>
          <w:sz w:val="32"/>
          <w:szCs w:val="32"/>
          <w:lang w:eastAsia="zh-CN"/>
        </w:rPr>
        <w:t>。按“无害化、减量化、资源化”原则，做好固体废物的分类收集和综合利用，并建立固体废物产生、储存、处置管理台账；按照《一般工业固体废物贮存和填埋污染控制标准》（GB18599-2020）相关要求，规范设置一般工业固体废物临时贮存场所；按《危险废物贮存污染控制标准》（GB18597-2001）及其修改单要求设置危险废物暂存间，产生的危险废物交由有资质单位处置，并落实危险废物转移联单制度；生活垃圾交环卫部门统一收集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6.加强营运期风险防范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7.加强环境管理</w:t>
      </w:r>
      <w:r>
        <w:rPr>
          <w:rFonts w:hint="eastAsia" w:ascii="仿宋_GB2312" w:hAnsi="仿宋_GB2312" w:eastAsia="仿宋_GB2312" w:cs="仿宋_GB2312"/>
          <w:sz w:val="32"/>
          <w:szCs w:val="32"/>
          <w:lang w:eastAsia="zh-CN"/>
        </w:rPr>
        <w:t>。建立健全的环保管理台账，配备专人负责环保工作，确保各项污染防治设施正常运行，各项污染物稳定达标排放。</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三、建设项目的环境影响评价文件经批准后，建设项目的性质、规模、地点或者污染防治措施发生重大变动的，建设单位应当重新报批建设项目的环境影响评价文件。</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四、项目竣工后，按建设项目竣工环境保护验收管理的有关规定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及时组织自行验收。本项目的现场环境监督管理由南湖新区生态环境保护综合行政执法</w:t>
      </w:r>
      <w:bookmarkStart w:id="0" w:name="_GoBack"/>
      <w:bookmarkEnd w:id="0"/>
      <w:r>
        <w:rPr>
          <w:rFonts w:hint="eastAsia" w:ascii="仿宋_GB2312" w:hAnsi="仿宋_GB2312" w:eastAsia="仿宋_GB2312" w:cs="仿宋_GB2312"/>
          <w:sz w:val="32"/>
          <w:szCs w:val="32"/>
        </w:rPr>
        <w:t>大队负责。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 xml:space="preserve">                                2022年11月8日</w:t>
      </w:r>
    </w:p>
    <w:p>
      <w:pPr>
        <w:pStyle w:val="5"/>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TkxZjk5Y2RkMmU1M2I1NTg1ZjNkY2ZjMjNiMTYifQ=="/>
  </w:docVars>
  <w:rsids>
    <w:rsidRoot w:val="4EAD5E3E"/>
    <w:rsid w:val="03C74BB5"/>
    <w:rsid w:val="088A61B1"/>
    <w:rsid w:val="14E815EA"/>
    <w:rsid w:val="241412F8"/>
    <w:rsid w:val="24345C36"/>
    <w:rsid w:val="37797999"/>
    <w:rsid w:val="3795555A"/>
    <w:rsid w:val="4EAD5E3E"/>
    <w:rsid w:val="65006754"/>
    <w:rsid w:val="70C40F7D"/>
    <w:rsid w:val="7BF7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 w:type="paragraph" w:customStyle="1" w:styleId="5">
    <w:name w:val="样式1"/>
    <w:basedOn w:val="1"/>
    <w:qFormat/>
    <w:uiPriority w:val="0"/>
    <w:pPr>
      <w:spacing w:line="460" w:lineRule="exact"/>
    </w:pPr>
    <w:rPr>
      <w:rFonts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1711</Words>
  <Characters>1860</Characters>
  <Lines>0</Lines>
  <Paragraphs>0</Paragraphs>
  <TotalTime>37</TotalTime>
  <ScaleCrop>false</ScaleCrop>
  <LinksUpToDate>false</LinksUpToDate>
  <CharactersWithSpaces>1926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2022-10-21T06:40:00Z</dcterms:created>
  <dc:creator>Edie</dc:creator>
  <cp:lastModifiedBy>Administrator</cp:lastModifiedBy>
  <dcterms:modified xsi:type="dcterms:W3CDTF">2022-11-08T01:34:03Z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30E3A4CD3AFC4BF7A7881E43863BD4EB</vt:lpwstr>
  </property>
</Properties>
</file>