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kinsoku/>
        <w:wordWrap/>
        <w:overflowPunct/>
        <w:topLinePunct w:val="0"/>
        <w:bidi w:val="0"/>
        <w:snapToGrid/>
        <w:spacing w:line="560" w:lineRule="exact"/>
        <w:jc w:val="center"/>
        <w:textAlignment w:val="top"/>
        <w:rPr>
          <w:rFonts w:hint="eastAsia" w:ascii="仿宋_GB2312" w:hAnsi="仿宋_GB2312" w:eastAsia="仿宋_GB2312" w:cs="仿宋_GB2312"/>
          <w:b w:val="0"/>
          <w:bCs/>
          <w:color w:val="000000"/>
          <w:kern w:val="2"/>
          <w:sz w:val="32"/>
          <w:szCs w:val="32"/>
        </w:rPr>
      </w:pPr>
    </w:p>
    <w:p>
      <w:pPr>
        <w:pStyle w:val="4"/>
        <w:keepNext w:val="0"/>
        <w:keepLines w:val="0"/>
        <w:pageBreakBefore w:val="0"/>
        <w:kinsoku/>
        <w:wordWrap/>
        <w:overflowPunct/>
        <w:topLinePunct w:val="0"/>
        <w:bidi w:val="0"/>
        <w:snapToGrid/>
        <w:spacing w:line="560" w:lineRule="exact"/>
        <w:jc w:val="center"/>
        <w:textAlignment w:val="top"/>
        <w:rPr>
          <w:rFonts w:hint="eastAsia" w:ascii="仿宋_GB2312" w:hAnsi="仿宋_GB2312" w:eastAsia="仿宋_GB2312" w:cs="仿宋_GB2312"/>
          <w:b w:val="0"/>
          <w:bCs/>
          <w:color w:val="000000"/>
          <w:kern w:val="2"/>
          <w:sz w:val="32"/>
          <w:szCs w:val="32"/>
        </w:rPr>
      </w:pPr>
    </w:p>
    <w:p>
      <w:pPr>
        <w:pStyle w:val="4"/>
        <w:keepNext w:val="0"/>
        <w:keepLines w:val="0"/>
        <w:pageBreakBefore w:val="0"/>
        <w:kinsoku/>
        <w:wordWrap/>
        <w:overflowPunct/>
        <w:topLinePunct w:val="0"/>
        <w:bidi w:val="0"/>
        <w:snapToGrid/>
        <w:spacing w:line="560" w:lineRule="exact"/>
        <w:jc w:val="center"/>
        <w:textAlignment w:val="top"/>
        <w:rPr>
          <w:rFonts w:hint="eastAsia" w:ascii="仿宋_GB2312" w:hAnsi="仿宋_GB2312" w:eastAsia="仿宋_GB2312" w:cs="仿宋_GB2312"/>
          <w:b w:val="0"/>
          <w:bCs/>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 w:hAnsi="仿宋" w:eastAsia="仿宋"/>
          <w:color w:val="000000"/>
          <w:sz w:val="30"/>
          <w:szCs w:val="30"/>
        </w:rPr>
        <w:t xml:space="preserve">                               </w:t>
      </w:r>
      <w:r>
        <w:rPr>
          <w:rFonts w:hint="eastAsia" w:ascii="仿宋_GB2312" w:hAnsi="仿宋_GB2312" w:eastAsia="仿宋_GB2312" w:cs="仿宋_GB2312"/>
          <w:sz w:val="32"/>
          <w:szCs w:val="32"/>
        </w:rPr>
        <w:t>岳南环评〔2022〕</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号</w:t>
      </w:r>
    </w:p>
    <w:p>
      <w:pPr>
        <w:keepNext w:val="0"/>
        <w:keepLines w:val="0"/>
        <w:pageBreakBefore w:val="0"/>
        <w:kinsoku/>
        <w:wordWrap/>
        <w:overflowPunct/>
        <w:topLinePunct w:val="0"/>
        <w:autoSpaceDE w:val="0"/>
        <w:autoSpaceDN w:val="0"/>
        <w:bidi w:val="0"/>
        <w:adjustRightInd w:val="0"/>
        <w:snapToGrid/>
        <w:spacing w:line="560" w:lineRule="exact"/>
        <w:ind w:left="177" w:hanging="177" w:firstLineChars="0"/>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关于岳阳学院项目（一期）环境影响</w:t>
      </w:r>
    </w:p>
    <w:p>
      <w:pPr>
        <w:keepNext w:val="0"/>
        <w:keepLines w:val="0"/>
        <w:pageBreakBefore w:val="0"/>
        <w:kinsoku/>
        <w:wordWrap/>
        <w:overflowPunct/>
        <w:topLinePunct w:val="0"/>
        <w:autoSpaceDE w:val="0"/>
        <w:autoSpaceDN w:val="0"/>
        <w:bidi w:val="0"/>
        <w:adjustRightInd w:val="0"/>
        <w:snapToGrid/>
        <w:spacing w:line="560" w:lineRule="exact"/>
        <w:ind w:left="177" w:hanging="177" w:firstLineChars="0"/>
        <w:jc w:val="center"/>
        <w:rPr>
          <w:rFonts w:hint="eastAsia" w:ascii="方正小标宋简体" w:hAnsi="方正小标宋简体" w:eastAsia="方正小标宋简体" w:cs="方正小标宋简体"/>
          <w:b w:val="0"/>
          <w:bCs w:val="0"/>
          <w:color w:val="000000"/>
          <w:sz w:val="44"/>
          <w:szCs w:val="44"/>
        </w:rPr>
      </w:pPr>
      <w:r>
        <w:rPr>
          <w:rFonts w:hint="eastAsia" w:ascii="方正小标宋简体" w:hAnsi="方正小标宋简体" w:eastAsia="方正小标宋简体" w:cs="方正小标宋简体"/>
          <w:b w:val="0"/>
          <w:bCs w:val="0"/>
          <w:sz w:val="44"/>
          <w:szCs w:val="44"/>
        </w:rPr>
        <w:t>报告</w:t>
      </w:r>
      <w:r>
        <w:rPr>
          <w:rFonts w:hint="eastAsia" w:ascii="方正小标宋简体" w:hAnsi="方正小标宋简体" w:eastAsia="方正小标宋简体" w:cs="方正小标宋简体"/>
          <w:b w:val="0"/>
          <w:bCs w:val="0"/>
          <w:sz w:val="44"/>
          <w:szCs w:val="44"/>
          <w:lang w:eastAsia="zh-CN"/>
        </w:rPr>
        <w:t>表</w:t>
      </w:r>
      <w:r>
        <w:rPr>
          <w:rFonts w:hint="eastAsia" w:ascii="方正小标宋简体" w:hAnsi="方正小标宋简体" w:eastAsia="方正小标宋简体" w:cs="方正小标宋简体"/>
          <w:b w:val="0"/>
          <w:bCs w:val="0"/>
          <w:sz w:val="44"/>
          <w:szCs w:val="44"/>
        </w:rPr>
        <w:t>的批复</w:t>
      </w:r>
    </w:p>
    <w:p>
      <w:pPr>
        <w:pStyle w:val="4"/>
        <w:keepNext w:val="0"/>
        <w:keepLines w:val="0"/>
        <w:pageBreakBefore w:val="0"/>
        <w:kinsoku/>
        <w:wordWrap/>
        <w:overflowPunct/>
        <w:topLinePunct w:val="0"/>
        <w:bidi w:val="0"/>
        <w:snapToGrid/>
        <w:spacing w:line="560" w:lineRule="exact"/>
        <w:ind w:left="177" w:hanging="177" w:hangingChars="49"/>
        <w:jc w:val="both"/>
        <w:textAlignment w:val="top"/>
        <w:rPr>
          <w:rFonts w:ascii="仿宋" w:hAnsi="仿宋" w:eastAsia="仿宋" w:cs="黑体"/>
          <w:b/>
          <w:color w:val="FF0000"/>
          <w:sz w:val="36"/>
          <w:szCs w:val="36"/>
        </w:rPr>
      </w:pPr>
    </w:p>
    <w:p>
      <w:pPr>
        <w:keepNext w:val="0"/>
        <w:keepLines w:val="0"/>
        <w:pageBreakBefore w:val="0"/>
        <w:widowControl w:val="0"/>
        <w:kinsoku/>
        <w:wordWrap/>
        <w:overflowPunct/>
        <w:topLinePunct w:val="0"/>
        <w:autoSpaceDE/>
        <w:autoSpaceDN/>
        <w:bidi w:val="0"/>
        <w:adjustRightInd/>
        <w:snapToGrid/>
        <w:spacing w:line="560" w:lineRule="exact"/>
        <w:ind w:firstLine="19" w:firstLineChars="6"/>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岳阳市城投教育投资有限公司：</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你公司《关于</w:t>
      </w:r>
      <w:r>
        <w:rPr>
          <w:rFonts w:hint="eastAsia" w:ascii="仿宋_GB2312" w:hAnsi="仿宋_GB2312" w:eastAsia="仿宋_GB2312" w:cs="仿宋_GB2312"/>
          <w:sz w:val="32"/>
          <w:szCs w:val="32"/>
          <w:lang w:eastAsia="zh-CN"/>
        </w:rPr>
        <w:t>申请对</w:t>
      </w:r>
      <w:r>
        <w:rPr>
          <w:rFonts w:hint="eastAsia" w:ascii="仿宋_GB2312" w:hAnsi="仿宋_GB2312" w:eastAsia="仿宋_GB2312" w:cs="仿宋_GB2312"/>
          <w:sz w:val="32"/>
          <w:szCs w:val="32"/>
        </w:rPr>
        <w:t>岳阳学院项目（一期）环境影响</w:t>
      </w:r>
      <w:r>
        <w:rPr>
          <w:rFonts w:hint="eastAsia" w:ascii="仿宋_GB2312" w:hAnsi="仿宋_GB2312" w:eastAsia="仿宋_GB2312" w:cs="仿宋_GB2312"/>
          <w:sz w:val="32"/>
          <w:szCs w:val="32"/>
          <w:lang w:eastAsia="zh-CN"/>
        </w:rPr>
        <w:t>报告表进行</w:t>
      </w:r>
      <w:r>
        <w:rPr>
          <w:rFonts w:hint="eastAsia" w:ascii="仿宋_GB2312" w:hAnsi="仿宋_GB2312" w:eastAsia="仿宋_GB2312" w:cs="仿宋_GB2312"/>
          <w:sz w:val="32"/>
          <w:szCs w:val="32"/>
        </w:rPr>
        <w:t>批复的</w:t>
      </w:r>
      <w:r>
        <w:rPr>
          <w:rFonts w:hint="eastAsia" w:ascii="仿宋_GB2312" w:hAnsi="仿宋_GB2312" w:eastAsia="仿宋_GB2312" w:cs="仿宋_GB2312"/>
          <w:sz w:val="32"/>
          <w:szCs w:val="32"/>
          <w:lang w:eastAsia="zh-CN"/>
        </w:rPr>
        <w:t>函</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及有关附件收悉。</w:t>
      </w:r>
      <w:r>
        <w:rPr>
          <w:rFonts w:hint="eastAsia" w:ascii="仿宋_GB2312" w:hAnsi="仿宋_GB2312" w:eastAsia="仿宋_GB2312" w:cs="仿宋_GB2312"/>
          <w:sz w:val="32"/>
          <w:szCs w:val="32"/>
        </w:rPr>
        <w:t>经研究，批复如下：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FF0000"/>
          <w:sz w:val="32"/>
          <w:szCs w:val="32"/>
          <w:lang w:eastAsia="zh-CN"/>
        </w:rPr>
      </w:pPr>
      <w:r>
        <w:rPr>
          <w:rFonts w:hint="eastAsia" w:ascii="仿宋_GB2312" w:hAnsi="仿宋_GB2312" w:eastAsia="仿宋_GB2312" w:cs="仿宋_GB2312"/>
          <w:sz w:val="32"/>
          <w:szCs w:val="32"/>
          <w:lang w:eastAsia="zh-CN"/>
        </w:rPr>
        <w:t>一、岳阳学院（一期）位于岳阳市南湖新区赶山片区，郭麻路以西，樊陈路以北，东坡路以东，赶山路以南。规划用地面积362272m</w:t>
      </w:r>
      <w:r>
        <w:rPr>
          <w:rFonts w:hint="eastAsia" w:ascii="仿宋_GB2312" w:hAnsi="仿宋_GB2312" w:eastAsia="仿宋_GB2312" w:cs="仿宋_GB2312"/>
          <w:sz w:val="32"/>
          <w:szCs w:val="32"/>
          <w:vertAlign w:val="superscript"/>
          <w:lang w:eastAsia="zh-CN"/>
        </w:rPr>
        <w:t>2</w:t>
      </w:r>
      <w:r>
        <w:rPr>
          <w:rFonts w:hint="eastAsia" w:ascii="仿宋_GB2312" w:hAnsi="仿宋_GB2312" w:eastAsia="仿宋_GB2312" w:cs="仿宋_GB2312"/>
          <w:sz w:val="32"/>
          <w:szCs w:val="32"/>
          <w:lang w:eastAsia="zh-CN"/>
        </w:rPr>
        <w:t>，规划办学专业有机电类、工程类、外语类及体育教育类四大专业，规划全日制在校学生人数6000人。</w:t>
      </w:r>
      <w:r>
        <w:rPr>
          <w:rFonts w:hint="eastAsia" w:ascii="仿宋_GB2312" w:hAnsi="仿宋_GB2312" w:eastAsia="仿宋_GB2312" w:cs="仿宋_GB2312"/>
          <w:color w:val="FF0000"/>
          <w:sz w:val="32"/>
          <w:szCs w:val="32"/>
          <w:lang w:val="en-US" w:eastAsia="zh-CN"/>
        </w:rPr>
        <w:t> </w:t>
      </w:r>
      <w:r>
        <w:rPr>
          <w:rFonts w:hint="eastAsia" w:ascii="仿宋_GB2312" w:hAnsi="仿宋_GB2312" w:eastAsia="仿宋_GB2312" w:cs="仿宋_GB2312"/>
          <w:sz w:val="32"/>
          <w:szCs w:val="32"/>
        </w:rPr>
        <w:t>根据湖南</w:t>
      </w:r>
      <w:r>
        <w:rPr>
          <w:rFonts w:hint="eastAsia" w:ascii="仿宋_GB2312" w:hAnsi="仿宋_GB2312" w:eastAsia="仿宋_GB2312" w:cs="仿宋_GB2312"/>
          <w:sz w:val="32"/>
          <w:szCs w:val="32"/>
          <w:lang w:eastAsia="zh-CN"/>
        </w:rPr>
        <w:t>霖昇工程技术咨询</w:t>
      </w:r>
      <w:r>
        <w:rPr>
          <w:rFonts w:hint="eastAsia" w:ascii="仿宋_GB2312" w:hAnsi="仿宋_GB2312" w:eastAsia="仿宋_GB2312" w:cs="仿宋_GB2312"/>
          <w:sz w:val="32"/>
          <w:szCs w:val="32"/>
        </w:rPr>
        <w:t>有限公司编制的《</w:t>
      </w:r>
      <w:r>
        <w:rPr>
          <w:rFonts w:hint="eastAsia" w:ascii="仿宋_GB2312" w:hAnsi="仿宋_GB2312" w:eastAsia="仿宋_GB2312" w:cs="仿宋_GB2312"/>
          <w:sz w:val="32"/>
          <w:szCs w:val="32"/>
          <w:lang w:eastAsia="zh-CN"/>
        </w:rPr>
        <w:t>岳阳学院</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（一期）</w:t>
      </w:r>
      <w:r>
        <w:rPr>
          <w:rFonts w:hint="eastAsia" w:ascii="仿宋_GB2312" w:hAnsi="仿宋_GB2312" w:eastAsia="仿宋_GB2312" w:cs="仿宋_GB2312"/>
          <w:sz w:val="32"/>
          <w:szCs w:val="32"/>
        </w:rPr>
        <w:t>环境影响报告表》基本内容、结论及专家评审意见，我局原则同意你单位环境影响报告表中环境影响评价结论和环境保护对策措施。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二、项目的建设和运营过程中必须全面落实环境影响报告表提出的各项生态环境保护措施，</w:t>
      </w:r>
      <w:r>
        <w:rPr>
          <w:rFonts w:hint="eastAsia" w:ascii="仿宋_GB2312" w:hAnsi="仿宋_GB2312" w:eastAsia="仿宋_GB2312" w:cs="仿宋_GB2312"/>
          <w:sz w:val="32"/>
          <w:szCs w:val="32"/>
        </w:rPr>
        <w:t>切实加强环境管理，</w:t>
      </w:r>
      <w:r>
        <w:rPr>
          <w:rFonts w:hint="eastAsia" w:ascii="仿宋_GB2312" w:hAnsi="仿宋_GB2312" w:eastAsia="仿宋_GB2312" w:cs="仿宋_GB2312"/>
          <w:sz w:val="32"/>
          <w:szCs w:val="32"/>
          <w:lang w:eastAsia="zh-CN"/>
        </w:rPr>
        <w:t>并着重做好以下工作：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val="en-US" w:eastAsia="zh-CN"/>
        </w:rPr>
        <w:t>1.</w:t>
      </w:r>
      <w:r>
        <w:rPr>
          <w:rFonts w:hint="eastAsia" w:ascii="楷体_GB2312" w:hAnsi="楷体_GB2312" w:eastAsia="楷体_GB2312" w:cs="楷体_GB2312"/>
          <w:b/>
          <w:bCs/>
          <w:sz w:val="32"/>
          <w:szCs w:val="32"/>
          <w:lang w:eastAsia="zh-CN"/>
        </w:rPr>
        <w:t>切实做好施工期环境保护工作</w:t>
      </w:r>
      <w:r>
        <w:rPr>
          <w:rFonts w:hint="eastAsia" w:ascii="仿宋_GB2312" w:hAnsi="仿宋_GB2312" w:eastAsia="仿宋_GB2312" w:cs="仿宋_GB2312"/>
          <w:sz w:val="32"/>
          <w:szCs w:val="32"/>
          <w:lang w:eastAsia="zh-CN"/>
        </w:rPr>
        <w:t>。按照《岳阳市扬尘污染防治条例》有关要求落实扬尘防控措施，渣土物料运输采用密闭或其他遮覆方式，有效减轻施工及运输的扬尘污染影响。施工期执行《大气污染物综合排放标准》（GB16297-1996）中表2无组织排放浓度限值。施工期选用低噪声施工设备，合理安排作业时间，设置临时隔声屏障或围护结构等措施，确保施工噪声符合《建筑施工场界环境噪声排放标准》（GB12523-2011）要求。施工期施工废水回用、施工人员生活污水经临时化粪池处理后通过市政管网进入岳阳湖滨污水处理厂处理后达标排放，落实施工水保措施，防止施工水土流失。施工过程中的建筑垃圾、工程渣土等固体废物及时清运；生活垃圾收集后由环卫部门统一收集处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b/>
          <w:bCs/>
          <w:sz w:val="32"/>
          <w:szCs w:val="32"/>
          <w:lang w:val="en-US" w:eastAsia="zh-CN"/>
        </w:rPr>
        <w:t>2.加强大气污染防治工作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lang w:eastAsia="zh-CN"/>
        </w:rPr>
        <w:t>地下车库采用强制通风系统</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实验室有机废气</w:t>
      </w:r>
      <w:r>
        <w:rPr>
          <w:rFonts w:hint="eastAsia" w:ascii="仿宋_GB2312" w:hAnsi="仿宋_GB2312" w:eastAsia="仿宋_GB2312" w:cs="仿宋_GB2312"/>
          <w:color w:val="auto"/>
          <w:sz w:val="32"/>
          <w:szCs w:val="32"/>
          <w:lang w:eastAsia="zh-CN"/>
        </w:rPr>
        <w:t>活性炭吸附处理后</w:t>
      </w:r>
      <w:r>
        <w:rPr>
          <w:rFonts w:hint="eastAsia" w:ascii="仿宋_GB2312" w:hAnsi="仿宋_GB2312" w:eastAsia="仿宋_GB2312" w:cs="仿宋_GB2312"/>
          <w:color w:val="auto"/>
          <w:sz w:val="32"/>
          <w:szCs w:val="32"/>
          <w:lang w:val="en-US" w:eastAsia="zh-CN"/>
        </w:rPr>
        <w:t>，酸雾</w:t>
      </w:r>
      <w:r>
        <w:rPr>
          <w:rFonts w:hint="eastAsia" w:ascii="仿宋_GB2312" w:hAnsi="仿宋_GB2312" w:eastAsia="仿宋_GB2312" w:cs="仿宋_GB2312"/>
          <w:color w:val="auto"/>
          <w:sz w:val="32"/>
          <w:szCs w:val="32"/>
          <w:lang w:eastAsia="zh-CN"/>
        </w:rPr>
        <w:t>采用酸碱喷淋装置</w:t>
      </w:r>
      <w:r>
        <w:rPr>
          <w:rFonts w:hint="eastAsia" w:ascii="仿宋_GB2312" w:hAnsi="仿宋_GB2312" w:eastAsia="仿宋_GB2312" w:cs="仿宋_GB2312"/>
          <w:color w:val="auto"/>
          <w:sz w:val="32"/>
          <w:szCs w:val="32"/>
          <w:lang w:val="en-US" w:eastAsia="zh-CN"/>
        </w:rPr>
        <w:t>处理后</w:t>
      </w:r>
      <w:r>
        <w:rPr>
          <w:rFonts w:hint="eastAsia" w:ascii="仿宋_GB2312" w:hAnsi="仿宋_GB2312" w:eastAsia="仿宋_GB2312" w:cs="仿宋_GB2312"/>
          <w:color w:val="auto"/>
          <w:sz w:val="32"/>
          <w:szCs w:val="32"/>
          <w:lang w:eastAsia="zh-CN"/>
        </w:rPr>
        <w:t>，引至建筑物楼顶排气筒高空排放，焊接烟尘等废气的实训教学工位设置集气罩，将实训实验废气抽排至楼顶排气筒排放，</w:t>
      </w:r>
      <w:r>
        <w:rPr>
          <w:rFonts w:hint="eastAsia" w:ascii="仿宋_GB2312" w:hAnsi="仿宋_GB2312" w:eastAsia="仿宋_GB2312" w:cs="仿宋_GB2312"/>
          <w:color w:val="auto"/>
          <w:sz w:val="32"/>
          <w:szCs w:val="32"/>
          <w:lang w:val="en-US" w:eastAsia="zh-CN"/>
        </w:rPr>
        <w:t>颗粒物、盐酸雾、非甲烷总烃执行《大气污染物综合排放标准》（GB16297-1996）二级标准要求</w:t>
      </w:r>
      <w:r>
        <w:rPr>
          <w:rFonts w:hint="eastAsia" w:ascii="仿宋_GB2312" w:hAnsi="仿宋_GB2312" w:eastAsia="仿宋_GB2312" w:cs="仿宋_GB2312"/>
          <w:color w:val="auto"/>
          <w:sz w:val="32"/>
          <w:szCs w:val="32"/>
          <w:lang w:eastAsia="zh-CN"/>
        </w:rPr>
        <w:t>;食堂油烟废气经油烟处理器处理达到《饮食业油烟排放标准（试行)》(GB18483-2001）要求后通过专用烟道排放至屋顶;</w:t>
      </w:r>
      <w:r>
        <w:rPr>
          <w:rFonts w:hint="eastAsia" w:ascii="仿宋_GB2312" w:hAnsi="仿宋_GB2312" w:eastAsia="仿宋_GB2312" w:cs="仿宋_GB2312"/>
          <w:sz w:val="32"/>
          <w:szCs w:val="32"/>
          <w:lang w:eastAsia="zh-CN"/>
        </w:rPr>
        <w:t>场界非甲烷总烃无组织排放限值执行《大气污染物综合排放标准》（GB 16297-1996）相关要求；场区内VOCs无组织排放限值执行《挥发性有机物无组织排放控制标准》（GB 37822-2019）相关要求</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val="en-US" w:eastAsia="zh-CN"/>
        </w:rPr>
        <w:t>3.加强废水污染防治工作</w:t>
      </w:r>
      <w:r>
        <w:rPr>
          <w:rFonts w:hint="eastAsia" w:ascii="仿宋_GB2312" w:hAnsi="仿宋_GB2312" w:eastAsia="仿宋_GB2312" w:cs="仿宋_GB2312"/>
          <w:sz w:val="32"/>
          <w:szCs w:val="32"/>
          <w:lang w:eastAsia="zh-CN"/>
        </w:rPr>
        <w:t>。项目食堂废水经隔油、化粪池预处理；生活废水经化粪池预处理；实验室废水经实验室废水处理系统进行预处理；项目废水经预处理达到《污水综合排放标准》（GB8978-1996）中表4三级排放标准及岳阳湖滨污水处理厂进水接管标准后再通过污水管网排入岳阳湖滨污水处理厂进行深度处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4.加强噪声污染防治工作</w:t>
      </w:r>
      <w:r>
        <w:rPr>
          <w:rFonts w:hint="eastAsia" w:ascii="仿宋_GB2312" w:hAnsi="仿宋_GB2312" w:eastAsia="仿宋_GB2312" w:cs="仿宋_GB2312"/>
          <w:sz w:val="32"/>
          <w:szCs w:val="32"/>
          <w:lang w:eastAsia="zh-CN"/>
        </w:rPr>
        <w:t>。选用低噪声设备、对产生噪声的设备和工序进行合理布局，确保项目场界噪声达到</w:t>
      </w:r>
      <w:r>
        <w:rPr>
          <w:rFonts w:hint="eastAsia" w:ascii="仿宋_GB2312" w:hAnsi="仿宋_GB2312" w:eastAsia="仿宋_GB2312" w:cs="仿宋_GB2312"/>
          <w:color w:val="000000"/>
          <w:kern w:val="2"/>
          <w:sz w:val="32"/>
          <w:szCs w:val="32"/>
        </w:rPr>
        <w:t>《工业企业厂界环境噪声排放标准》(GB12348-2008)</w:t>
      </w:r>
      <w:r>
        <w:rPr>
          <w:rFonts w:hint="eastAsia" w:ascii="仿宋_GB2312" w:hAnsi="仿宋_GB2312" w:eastAsia="仿宋_GB2312" w:cs="仿宋_GB2312"/>
          <w:color w:val="000000"/>
          <w:kern w:val="2"/>
          <w:sz w:val="32"/>
          <w:szCs w:val="32"/>
          <w:lang w:eastAsia="zh-CN"/>
        </w:rPr>
        <w:t>中</w:t>
      </w:r>
      <w:r>
        <w:rPr>
          <w:rFonts w:hint="eastAsia" w:ascii="仿宋_GB2312" w:hAnsi="仿宋_GB2312" w:eastAsia="仿宋_GB2312" w:cs="仿宋_GB2312"/>
          <w:color w:val="000000"/>
          <w:kern w:val="2"/>
          <w:sz w:val="32"/>
          <w:szCs w:val="32"/>
          <w:lang w:val="en-US" w:eastAsia="zh-CN"/>
        </w:rPr>
        <w:t>2</w:t>
      </w:r>
      <w:r>
        <w:rPr>
          <w:rFonts w:hint="eastAsia" w:ascii="仿宋_GB2312" w:hAnsi="仿宋_GB2312" w:eastAsia="仿宋_GB2312" w:cs="仿宋_GB2312"/>
          <w:sz w:val="32"/>
          <w:szCs w:val="32"/>
          <w:lang w:val="en-US" w:eastAsia="zh-CN"/>
        </w:rPr>
        <w:t>类标准。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val="en-US" w:eastAsia="zh-CN"/>
        </w:rPr>
        <w:t>5.加强固体废物污染防治工作</w:t>
      </w:r>
      <w:r>
        <w:rPr>
          <w:rFonts w:hint="eastAsia" w:ascii="仿宋_GB2312" w:hAnsi="仿宋_GB2312" w:eastAsia="仿宋_GB2312" w:cs="仿宋_GB2312"/>
          <w:sz w:val="32"/>
          <w:szCs w:val="32"/>
          <w:lang w:eastAsia="zh-CN"/>
        </w:rPr>
        <w:t>。按“无害化、减量化、资源化”原则，做好固体废物的分类收集和综合利用，并建立固体废物产生、储存、处置管理台账；按照《一般工业固体废物贮存和填埋污染控制标准》（GB18599-2020）相关要求，规范设置一般工业固体废物临时贮存场所；按《危险废物贮存污染控制标准》（GB18597-2001）及其修改单要求设置危险废物暂存间，产生的危险废物交由有资质单位处置，并落实危险废物转移联单制度；生活垃圾交环卫部门统一收集处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6.加强营运期风险防范</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sz w:val="32"/>
          <w:szCs w:val="32"/>
          <w:lang w:val="en-US" w:eastAsia="zh-CN"/>
        </w:rPr>
        <w:t>落实各项风险防范措施，加强设施设备的维护和管理，严格按照《突发环境事件应急预案管理暂行办法》要求制定事故环境应急预案，储备风险救助物资并组织演练，杜绝环境风险事故发生。</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val="en-US" w:eastAsia="zh-CN"/>
        </w:rPr>
        <w:t>7.加强环境管理</w:t>
      </w:r>
      <w:r>
        <w:rPr>
          <w:rFonts w:hint="eastAsia" w:ascii="仿宋_GB2312" w:hAnsi="仿宋_GB2312" w:eastAsia="仿宋_GB2312" w:cs="仿宋_GB2312"/>
          <w:sz w:val="32"/>
          <w:szCs w:val="32"/>
          <w:lang w:eastAsia="zh-CN"/>
        </w:rPr>
        <w:t>。建立健全的环保管理台账，配备专人负责环保工作，确保各项污染防治设施正常运行，各项污染物稳定达标排放。</w:t>
      </w:r>
    </w:p>
    <w:p>
      <w:pPr>
        <w:pStyle w:val="5"/>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三、建设项目的环境影响评价文件经批准后，建设项目的性质、规模、地点或者污染防治措施发生重大变动的，建设单位应当重新报批建设项目的环境影响评价文件。</w:t>
      </w:r>
    </w:p>
    <w:p>
      <w:pPr>
        <w:pStyle w:val="5"/>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四、项目竣工后，按建设项目竣工环境保护验收管理的有关规定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及时组织自行验收。本项目的现场环境监督管理由南湖新区生态环境保护综合行政执法大</w:t>
      </w:r>
      <w:bookmarkStart w:id="0" w:name="_GoBack"/>
      <w:bookmarkEnd w:id="0"/>
      <w:r>
        <w:rPr>
          <w:rFonts w:hint="eastAsia" w:ascii="仿宋_GB2312" w:hAnsi="仿宋_GB2312" w:eastAsia="仿宋_GB2312" w:cs="仿宋_GB2312"/>
          <w:sz w:val="32"/>
          <w:szCs w:val="32"/>
        </w:rPr>
        <w:t>队负责。</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岳阳市生态环境局</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sz w:val="32"/>
          <w:szCs w:val="32"/>
          <w:lang w:val="en-US" w:eastAsia="zh-CN"/>
        </w:rPr>
        <w:t xml:space="preserve">                                 2022年12月6日</w:t>
      </w:r>
    </w:p>
    <w:p>
      <w:pPr>
        <w:pStyle w:val="5"/>
        <w:keepNext w:val="0"/>
        <w:keepLines w:val="0"/>
        <w:pageBreakBefore w:val="0"/>
        <w:kinsoku/>
        <w:wordWrap/>
        <w:overflowPunct/>
        <w:topLinePunct w:val="0"/>
        <w:bidi w:val="0"/>
        <w:snapToGrid/>
        <w:spacing w:line="560" w:lineRule="exact"/>
        <w:jc w:val="both"/>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00"/>
      </w:pPr>
      <w:r>
        <w:separator/>
      </w:r>
    </w:p>
  </w:endnote>
  <w:endnote w:type="continuationSeparator" w:id="1">
    <w:p>
      <w:pPr>
        <w:ind w:firstLine="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00"/>
      </w:pPr>
      <w:r>
        <w:separator/>
      </w:r>
    </w:p>
  </w:footnote>
  <w:footnote w:type="continuationSeparator" w:id="1">
    <w:p>
      <w:pPr>
        <w:ind w:firstLine="40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kNTkxZjk5Y2RkMmU1M2I1NTg1ZjNkY2ZjMjNiMTYifQ=="/>
  </w:docVars>
  <w:rsids>
    <w:rsidRoot w:val="4EAD5E3E"/>
    <w:rsid w:val="03986D06"/>
    <w:rsid w:val="03C74BB5"/>
    <w:rsid w:val="088A61B1"/>
    <w:rsid w:val="0C042AF0"/>
    <w:rsid w:val="14E815EA"/>
    <w:rsid w:val="241412F8"/>
    <w:rsid w:val="24345C36"/>
    <w:rsid w:val="356A6458"/>
    <w:rsid w:val="37797999"/>
    <w:rsid w:val="3795555A"/>
    <w:rsid w:val="406A3BB7"/>
    <w:rsid w:val="4EAD5E3E"/>
    <w:rsid w:val="65006754"/>
    <w:rsid w:val="69F72373"/>
    <w:rsid w:val="70C40F7D"/>
    <w:rsid w:val="7BF764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1" w:firstLineChars="200"/>
    </w:pPr>
    <w:rPr>
      <w:rFonts w:ascii="Times New Roman" w:hAnsi="Times New Roman" w:eastAsia="宋体" w:cs="Times New Roman"/>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WPS Plain"/>
    <w:qFormat/>
    <w:uiPriority w:val="0"/>
    <w:rPr>
      <w:rFonts w:ascii="Times New Roman" w:hAnsi="Times New Roman" w:eastAsia="宋体" w:cs="Times New Roman"/>
      <w:lang w:val="en-US" w:eastAsia="zh-CN" w:bidi="ar-SA"/>
    </w:rPr>
  </w:style>
  <w:style w:type="paragraph" w:customStyle="1" w:styleId="5">
    <w:name w:val="样式1"/>
    <w:basedOn w:val="1"/>
    <w:qFormat/>
    <w:uiPriority w:val="0"/>
    <w:pPr>
      <w:spacing w:line="460" w:lineRule="exact"/>
    </w:pPr>
    <w:rPr>
      <w:rFonts w:eastAsia="仿宋"/>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1626</Words>
  <Characters>1763</Characters>
  <Lines>0</Lines>
  <Paragraphs>0</Paragraphs>
  <TotalTime>2</TotalTime>
  <ScaleCrop>false</ScaleCrop>
  <LinksUpToDate>false</LinksUpToDate>
  <CharactersWithSpaces>1830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2022-10-21T06:40:00Z</dcterms:created>
  <dc:creator>Edie</dc:creator>
  <cp:lastModifiedBy>Administrator</cp:lastModifiedBy>
  <dcterms:modified xsi:type="dcterms:W3CDTF">2022-12-05T01:46:39Z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30E3A4CD3AFC4BF7A7881E43863BD4EB</vt:lpwstr>
  </property>
</Properties>
</file>